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sz w:val="32"/>
          <w:szCs w:val="32"/>
        </w:rPr>
      </w:pPr>
      <w:r>
        <w:rPr>
          <w:rFonts w:ascii="Times New Roman" w:hAnsi="Times New Roman" w:eastAsia="仿宋_GB2312"/>
          <w:sz w:val="32"/>
          <w:szCs w:val="32"/>
          <w:lang w:bidi="ar"/>
        </w:rPr>
        <w:t>附件1</w:t>
      </w:r>
    </w:p>
    <w:p>
      <w:pPr>
        <w:widowControl/>
        <w:jc w:val="center"/>
        <w:rPr>
          <w:rFonts w:hint="eastAsia" w:ascii="宋体" w:hAnsi="宋体" w:cs="宋体"/>
          <w:b/>
          <w:color w:val="000000"/>
          <w:kern w:val="0"/>
          <w:sz w:val="48"/>
          <w:szCs w:val="48"/>
        </w:rPr>
      </w:pPr>
      <w:r>
        <w:rPr>
          <w:rFonts w:hint="eastAsia" w:ascii="方正小标宋简体" w:hAnsi="方正小标宋简体" w:eastAsia="方正小标宋简体" w:cs="方正小标宋简体"/>
          <w:bCs/>
          <w:color w:val="000000"/>
          <w:kern w:val="0"/>
          <w:sz w:val="44"/>
          <w:szCs w:val="44"/>
          <w:lang w:bidi="ar"/>
        </w:rPr>
        <w:t>广西壮族自治区揭榜制科技项目清单</w:t>
      </w:r>
      <w:bookmarkStart w:id="23" w:name="_GoBack"/>
      <w:bookmarkEnd w:id="23"/>
    </w:p>
    <w:p>
      <w:pPr>
        <w:jc w:val="left"/>
        <w:rPr>
          <w:rFonts w:hint="eastAsia" w:ascii="宋体" w:hAnsi="宋体" w:cs="宋体"/>
          <w:b/>
          <w:color w:val="000000"/>
          <w:kern w:val="0"/>
          <w:sz w:val="48"/>
          <w:szCs w:val="48"/>
        </w:rPr>
      </w:pPr>
      <w:r>
        <w:rPr>
          <w:rFonts w:hint="eastAsia" w:ascii="宋体" w:hAnsi="宋体" w:cs="宋体"/>
          <w:b/>
          <w:color w:val="000000"/>
          <w:kern w:val="0"/>
          <w:sz w:val="48"/>
          <w:szCs w:val="48"/>
          <w:lang w:bidi="ar"/>
        </w:rPr>
        <w:t xml:space="preserve"> </w:t>
      </w:r>
    </w:p>
    <w:p>
      <w:pPr>
        <w:ind w:left="1606" w:hanging="1606" w:hangingChars="500"/>
        <w:rPr>
          <w:rFonts w:ascii="Times New Roman" w:hAnsi="Times New Roman" w:eastAsia="仿宋_GB2312"/>
          <w:bCs/>
          <w:color w:val="333333"/>
          <w:kern w:val="28"/>
          <w:sz w:val="32"/>
          <w:szCs w:val="32"/>
          <w:shd w:val="clear" w:color="auto" w:fill="FFFFFF"/>
          <w:lang w:bidi="ar"/>
        </w:rPr>
      </w:pPr>
      <w:bookmarkStart w:id="0" w:name="_Toc10139"/>
      <w:bookmarkEnd w:id="0"/>
      <w:bookmarkStart w:id="1" w:name="_Toc20509"/>
      <w:bookmarkEnd w:id="1"/>
      <w:bookmarkStart w:id="2" w:name="_Toc30985"/>
      <w:bookmarkEnd w:id="2"/>
      <w:bookmarkStart w:id="3" w:name="_Toc15132"/>
      <w:bookmarkEnd w:id="3"/>
      <w:bookmarkStart w:id="4" w:name="_Toc17146"/>
      <w:bookmarkEnd w:id="4"/>
      <w:bookmarkStart w:id="5" w:name="_Toc81302444"/>
      <w:bookmarkStart w:id="6" w:name="_Toc9954"/>
      <w:bookmarkStart w:id="7" w:name="_Toc81302384"/>
      <w:r>
        <w:rPr>
          <w:rFonts w:ascii="Times New Roman" w:hAnsi="Times New Roman" w:eastAsia="仿宋_GB2312"/>
          <w:b/>
          <w:color w:val="333333"/>
          <w:kern w:val="28"/>
          <w:sz w:val="32"/>
          <w:szCs w:val="32"/>
          <w:shd w:val="clear" w:color="auto" w:fill="FFFFFF"/>
          <w:lang w:bidi="ar"/>
        </w:rPr>
        <w:t>项目名称：</w:t>
      </w:r>
      <w:r>
        <w:rPr>
          <w:rFonts w:ascii="Times New Roman" w:hAnsi="Times New Roman" w:eastAsia="仿宋_GB2312"/>
          <w:bCs/>
          <w:color w:val="333333"/>
          <w:kern w:val="28"/>
          <w:sz w:val="32"/>
          <w:szCs w:val="32"/>
          <w:shd w:val="clear" w:color="auto" w:fill="FFFFFF"/>
          <w:lang w:bidi="ar"/>
        </w:rPr>
        <w:t xml:space="preserve">桉树种质资源基因库的发掘利用与分子遗传育种研究 </w:t>
      </w:r>
      <w:bookmarkEnd w:id="5"/>
      <w:bookmarkEnd w:id="6"/>
      <w:bookmarkEnd w:id="7"/>
    </w:p>
    <w:p>
      <w:pPr>
        <w:rPr>
          <w:rFonts w:hint="eastAsia" w:ascii="仿宋_GB2312" w:hAnsi="仿宋_GB2312" w:eastAsia="仿宋_GB2312" w:cs="仿宋_GB2312"/>
          <w:sz w:val="32"/>
          <w:szCs w:val="32"/>
        </w:rPr>
      </w:pPr>
      <w:r>
        <w:rPr>
          <w:rFonts w:ascii="Times New Roman" w:hAnsi="Times New Roman" w:eastAsia="仿宋_GB2312"/>
          <w:b/>
          <w:color w:val="333333"/>
          <w:kern w:val="28"/>
          <w:sz w:val="32"/>
          <w:szCs w:val="32"/>
          <w:shd w:val="clear" w:color="auto" w:fill="FFFFFF"/>
          <w:lang w:bidi="ar"/>
        </w:rPr>
        <w:t>需求企业：</w:t>
      </w:r>
      <w:r>
        <w:rPr>
          <w:rFonts w:hint="eastAsia" w:ascii="仿宋_GB2312" w:hAnsi="仿宋_GB2312" w:eastAsia="仿宋_GB2312" w:cs="仿宋_GB2312"/>
          <w:sz w:val="32"/>
          <w:szCs w:val="32"/>
          <w:lang w:bidi="ar"/>
        </w:rPr>
        <w:t>广西国有东门林场</w:t>
      </w:r>
    </w:p>
    <w:p>
      <w:pPr>
        <w:jc w:val="left"/>
        <w:rPr>
          <w:rFonts w:ascii="Times New Roman" w:hAnsi="Times New Roman"/>
          <w:sz w:val="48"/>
          <w:szCs w:val="48"/>
        </w:rPr>
      </w:pPr>
    </w:p>
    <w:p>
      <w:pPr>
        <w:tabs>
          <w:tab w:val="left" w:pos="0"/>
        </w:tabs>
        <w:rPr>
          <w:rFonts w:ascii="Times New Roman" w:hAnsi="Times New Roman" w:eastAsia="黑体"/>
          <w:sz w:val="32"/>
          <w:szCs w:val="32"/>
        </w:rPr>
      </w:pPr>
      <w:r>
        <w:rPr>
          <w:rFonts w:ascii="Times New Roman" w:hAnsi="Times New Roman" w:eastAsia="黑体"/>
          <w:sz w:val="32"/>
          <w:szCs w:val="32"/>
          <w:lang w:bidi="ar"/>
        </w:rPr>
        <w:t>一、项目研究目标</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全面系统地进行“崇左市东门林场桉树国家林木种质资源库”中桉树各树种种源及其家系的遗传多样性与亲缘关系分析，建立桉树国家林木种质资源基因信息数据库；采用桉树全基因组选择育种、基因编辑等分子育种技术与传统育种方法相结合，获得速生、抗寒、抗病虫、优质的桉树新种质，选育综合性状优良的无性系。</w:t>
      </w:r>
    </w:p>
    <w:p>
      <w:pPr>
        <w:tabs>
          <w:tab w:val="left" w:pos="0"/>
        </w:tabs>
        <w:rPr>
          <w:rFonts w:ascii="Times New Roman" w:hAnsi="Times New Roman" w:eastAsia="黑体"/>
          <w:sz w:val="32"/>
          <w:szCs w:val="32"/>
        </w:rPr>
      </w:pPr>
      <w:r>
        <w:rPr>
          <w:rFonts w:ascii="Times New Roman" w:hAnsi="Times New Roman" w:eastAsia="黑体"/>
          <w:sz w:val="32"/>
          <w:szCs w:val="32"/>
          <w:lang w:bidi="ar"/>
        </w:rPr>
        <w:t>二、项目研究内容</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(一）桉树DNA分子标记和指纹图谱技术研究。应用于桉树种质资源遗传多样性分析以及桉树无性系良种苗木的分子鉴定。</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二）主要桉树纤维材树种重要经济性状的全基因组选择育种研究。挖掘生长和材性显著关联的基因组位点，定位相关的数量性状位点，鉴定候选基因，对候选基因进行注释和初步功能解读，解析木材材性形成的基因组基础。</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（三）桉树组织培养植株再生调控机理研究。解决桉树优良树种在组培繁育方面存在的繁殖效率低和生根较难等瓶颈问题，建立桉树高效植株再生体系，为优良无性系组培苗生产和分子育种提供技术支撑。</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（四）桉树高效遗传转化和基因组编辑方法研究。以桉树高效遗传转化和基因编辑技术为基础，建立桉树分子设计育种技术体系，促进我国桉树优良品种的培育。</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五）桉树生长发育、木材品质形成和抗逆相关功能基因的鉴定与分子机理研究。通过基因组、转录组等多组学方法和分子生物学技术，鉴定调控桉树速生、木材品质形成、抗寒以及抗病虫的关键基因及其作用分子机理，为桉树分子设计育种提供靶标功能基因。</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六）高产抗逆优质的桉树新种质创制与优良无性系培育。采用桉树全基因组选择育种、基因编辑等分子育种技术与传统育种方法相结合，获得速生、抗寒、抗病虫、优质的桉树新种质，选育综合性状优良的无性系，为桉树产业可持续发展提供良种保障。</w:t>
      </w:r>
    </w:p>
    <w:p>
      <w:pPr>
        <w:tabs>
          <w:tab w:val="left" w:pos="0"/>
        </w:tabs>
        <w:rPr>
          <w:rFonts w:ascii="Times New Roman" w:hAnsi="Times New Roman" w:eastAsia="黑体"/>
          <w:sz w:val="32"/>
          <w:szCs w:val="32"/>
        </w:rPr>
      </w:pPr>
      <w:r>
        <w:rPr>
          <w:rFonts w:ascii="Times New Roman" w:hAnsi="Times New Roman" w:eastAsia="黑体"/>
          <w:sz w:val="32"/>
          <w:szCs w:val="32"/>
          <w:lang w:bidi="ar"/>
        </w:rPr>
        <w:t>三、揭榜方任务及考核指标</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（一）构建“崇左市东门林场桉树国家林木种质资源库”桉树主要树种及杂交桉无性系的重要经济性状和基因信息数据库平台，包含不少于80个树种及杂交种无性系的2000个单株的数据信息。</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二）建立尾叶桉、巨桉和大花序桉等3种以上桉树树种及其选育无性系的分子标记指纹图谱，建立桉树优良无性系的分子鉴定方法；评估尾叶桉、巨桉和大花序桉等3种以上桉树树种的生长和材性遗传参数，通过分子标记研究桉树的遗传多样性和遗传结构。</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（三）揭示调控桉树速生、抗寒、抗病虫以及木材品质（木材密度、纤维素含量和木质素含量）形成的分子机理；鉴定与桉树速生、抗寒、抗病虫或木材品质形成相关的关键功能基因6个以上。</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四）建立桉树高效植株再生体系，建立以高效遗传转化和基因组编辑技术为基础的桉树分子育种体系；获得在速生、优质、抗寒、抗病虫、抗除草剂或早花方面具有其中一个或多个优异特性的桉树新品系3个以上。</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（五）系统总结本项目研究成果，发表相关学术论文20篇以上。</w:t>
      </w:r>
    </w:p>
    <w:p>
      <w:pPr>
        <w:tabs>
          <w:tab w:val="left" w:pos="0"/>
        </w:tabs>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（六）基于本项目研究获得的关键技术，申请国内外发明专利3项以上。</w:t>
      </w:r>
    </w:p>
    <w:p>
      <w:pPr>
        <w:tabs>
          <w:tab w:val="left" w:pos="0"/>
        </w:tabs>
        <w:rPr>
          <w:rFonts w:ascii="Times New Roman" w:hAnsi="Times New Roman" w:eastAsia="黑体"/>
          <w:sz w:val="32"/>
          <w:szCs w:val="32"/>
        </w:rPr>
      </w:pPr>
      <w:r>
        <w:rPr>
          <w:rFonts w:ascii="Times New Roman" w:hAnsi="Times New Roman" w:eastAsia="黑体"/>
          <w:sz w:val="32"/>
          <w:szCs w:val="32"/>
          <w:lang w:bidi="ar"/>
        </w:rPr>
        <w:t>四、对揭榜方要求</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在林木分子生物学与基因工程研究领域具有足够研究能力的高校或科研院所，有相应的研发平台，拥有相关的仪器设备和专业人才，以及检测能力，能够通过现代分子育种技术与常规育种技术结合，对桉树育种周期、新品种选育有显著的推动作用。</w:t>
      </w:r>
    </w:p>
    <w:p>
      <w:pPr>
        <w:rPr>
          <w:rFonts w:ascii="Times New Roman" w:hAnsi="Times New Roman" w:eastAsia="仿宋_GB2312"/>
          <w:sz w:val="32"/>
          <w:szCs w:val="32"/>
        </w:rPr>
      </w:pPr>
      <w:r>
        <w:rPr>
          <w:rFonts w:ascii="Times New Roman" w:hAnsi="Times New Roman" w:eastAsia="黑体"/>
          <w:sz w:val="32"/>
          <w:szCs w:val="32"/>
          <w:lang w:bidi="ar"/>
        </w:rPr>
        <w:t>五、项目实施周期：</w:t>
      </w:r>
      <w:r>
        <w:rPr>
          <w:rFonts w:ascii="Times New Roman" w:hAnsi="Times New Roman" w:eastAsia="仿宋_GB2312"/>
          <w:sz w:val="32"/>
          <w:szCs w:val="32"/>
          <w:lang w:bidi="ar"/>
        </w:rPr>
        <w:t>4年</w:t>
      </w:r>
    </w:p>
    <w:p>
      <w:pPr>
        <w:rPr>
          <w:rFonts w:ascii="Times New Roman" w:hAnsi="Times New Roman" w:eastAsia="仿宋_GB2312"/>
          <w:sz w:val="32"/>
          <w:szCs w:val="32"/>
        </w:rPr>
      </w:pPr>
      <w:r>
        <w:rPr>
          <w:rFonts w:ascii="Times New Roman" w:hAnsi="Times New Roman" w:eastAsia="黑体"/>
          <w:sz w:val="32"/>
          <w:szCs w:val="32"/>
          <w:lang w:bidi="ar"/>
        </w:rPr>
        <w:t>六、项目总投入预算：</w:t>
      </w:r>
      <w:r>
        <w:rPr>
          <w:rFonts w:ascii="Times New Roman" w:hAnsi="Times New Roman" w:eastAsia="仿宋_GB2312"/>
          <w:sz w:val="32"/>
          <w:szCs w:val="32"/>
          <w:lang w:bidi="ar"/>
        </w:rPr>
        <w:t>240万元</w:t>
      </w:r>
    </w:p>
    <w:p>
      <w:pPr>
        <w:ind w:left="640" w:hanging="640" w:hangingChars="200"/>
        <w:jc w:val="left"/>
        <w:rPr>
          <w:rFonts w:ascii="Times New Roman" w:hAnsi="Times New Roman" w:eastAsia="仿宋_GB2312"/>
          <w:sz w:val="32"/>
          <w:szCs w:val="32"/>
        </w:rPr>
      </w:pPr>
      <w:r>
        <w:rPr>
          <w:rFonts w:ascii="Times New Roman" w:hAnsi="Times New Roman" w:eastAsia="黑体"/>
          <w:sz w:val="32"/>
          <w:szCs w:val="32"/>
          <w:lang w:bidi="ar"/>
        </w:rPr>
        <w:t>七、项目预期效益：</w:t>
      </w:r>
      <w:r>
        <w:rPr>
          <w:rFonts w:ascii="Times New Roman" w:hAnsi="Times New Roman" w:eastAsia="仿宋_GB2312"/>
          <w:sz w:val="32"/>
          <w:szCs w:val="32"/>
          <w:lang w:bidi="ar"/>
        </w:rPr>
        <w:t>引导企业投入研发经费240万元，突破2-3项关键瓶颈技术，形成2-3项科技成果，获得专利3项，研发出3个新产品，实现新增产值1500万元。</w:t>
      </w:r>
    </w:p>
    <w:p>
      <w:pPr>
        <w:jc w:val="left"/>
        <w:rPr>
          <w:rFonts w:ascii="Times New Roman" w:hAnsi="Times New Roman" w:eastAsia="黑体"/>
          <w:sz w:val="32"/>
          <w:szCs w:val="32"/>
        </w:rPr>
      </w:pPr>
      <w:r>
        <w:rPr>
          <w:rFonts w:ascii="Times New Roman" w:hAnsi="Times New Roman" w:eastAsia="黑体"/>
          <w:sz w:val="32"/>
          <w:szCs w:val="32"/>
          <w:lang w:bidi="ar"/>
        </w:rPr>
        <w:t>八、联系方式</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联系人：王建忠</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联系电话：18776746080</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地址：广西崇左市扶绥县金龙路10号</w:t>
      </w:r>
    </w:p>
    <w:p>
      <w:pPr>
        <w:jc w:val="left"/>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32"/>
          <w:lang w:bidi="ar"/>
        </w:rPr>
        <w:br w:type="page"/>
      </w:r>
      <w:bookmarkStart w:id="8" w:name="_Toc9639"/>
      <w:bookmarkEnd w:id="8"/>
      <w:bookmarkStart w:id="9" w:name="_Toc31189"/>
      <w:bookmarkStart w:id="10" w:name="_Toc81302445"/>
      <w:bookmarkStart w:id="11" w:name="_Toc81302385"/>
      <w:r>
        <w:rPr>
          <w:rFonts w:hint="eastAsia" w:ascii="仿宋_GB2312" w:hAnsi="仿宋_GB2312" w:eastAsia="仿宋_GB2312" w:cs="仿宋_GB2312"/>
          <w:b/>
          <w:sz w:val="32"/>
          <w:szCs w:val="32"/>
          <w:lang w:bidi="ar"/>
        </w:rPr>
        <w:t>项目名称：</w:t>
      </w:r>
      <w:r>
        <w:rPr>
          <w:rFonts w:hint="eastAsia" w:ascii="仿宋_GB2312" w:hAnsi="仿宋_GB2312" w:eastAsia="仿宋_GB2312" w:cs="仿宋_GB2312"/>
          <w:bCs/>
          <w:sz w:val="32"/>
          <w:szCs w:val="32"/>
          <w:lang w:bidi="ar"/>
        </w:rPr>
        <w:t>赤泥全量化综合利用关键技术研发与应用</w:t>
      </w:r>
      <w:bookmarkEnd w:id="9"/>
      <w:bookmarkEnd w:id="10"/>
      <w:bookmarkEnd w:id="11"/>
    </w:p>
    <w:p>
      <w:pPr>
        <w:rPr>
          <w:rFonts w:hint="eastAsia" w:ascii="仿宋_GB2312" w:hAnsi="仿宋_GB2312" w:eastAsia="仿宋_GB2312" w:cs="仿宋_GB2312"/>
          <w:sz w:val="32"/>
          <w:szCs w:val="32"/>
          <w:lang w:bidi="ar"/>
        </w:rPr>
      </w:pPr>
      <w:r>
        <w:rPr>
          <w:rFonts w:hint="eastAsia" w:ascii="仿宋_GB2312" w:hAnsi="仿宋_GB2312" w:eastAsia="仿宋_GB2312" w:cs="仿宋_GB2312"/>
          <w:b/>
          <w:bCs/>
          <w:color w:val="000000"/>
          <w:sz w:val="32"/>
          <w:szCs w:val="32"/>
          <w:lang w:bidi="ar"/>
        </w:rPr>
        <w:t>需求企业：</w:t>
      </w:r>
      <w:r>
        <w:rPr>
          <w:rFonts w:hint="eastAsia" w:ascii="仿宋_GB2312" w:hAnsi="仿宋_GB2312" w:eastAsia="仿宋_GB2312" w:cs="仿宋_GB2312"/>
          <w:sz w:val="32"/>
          <w:szCs w:val="32"/>
          <w:lang w:bidi="ar"/>
        </w:rPr>
        <w:t>广西华昇新材料有限公司</w:t>
      </w:r>
    </w:p>
    <w:p>
      <w:pPr>
        <w:rPr>
          <w:rFonts w:hint="eastAsia" w:ascii="宋体" w:hAnsi="宋体" w:cs="宋体"/>
          <w:sz w:val="32"/>
          <w:szCs w:val="32"/>
          <w:lang w:bidi="ar"/>
        </w:rPr>
      </w:pPr>
    </w:p>
    <w:p>
      <w:pPr>
        <w:jc w:val="left"/>
        <w:rPr>
          <w:rFonts w:eastAsia="黑体"/>
          <w:color w:val="000000"/>
          <w:sz w:val="32"/>
          <w:szCs w:val="32"/>
        </w:rPr>
      </w:pPr>
      <w:r>
        <w:rPr>
          <w:rFonts w:hint="eastAsia" w:ascii="黑体" w:hAnsi="宋体" w:eastAsia="黑体" w:cs="黑体"/>
          <w:color w:val="000000"/>
          <w:sz w:val="32"/>
          <w:szCs w:val="32"/>
          <w:lang w:bidi="ar"/>
        </w:rPr>
        <w:t>一、项目研究目标</w:t>
      </w:r>
    </w:p>
    <w:p>
      <w:pPr>
        <w:ind w:firstLine="640" w:firstLineChars="200"/>
        <w:rPr>
          <w:sz w:val="32"/>
          <w:szCs w:val="32"/>
        </w:rPr>
      </w:pPr>
      <w:r>
        <w:rPr>
          <w:rFonts w:hint="eastAsia" w:ascii="仿宋_GB2312" w:hAnsi="仿宋_GB2312" w:eastAsia="仿宋_GB2312" w:cs="仿宋_GB2312"/>
          <w:sz w:val="32"/>
          <w:szCs w:val="32"/>
          <w:lang w:bidi="ar"/>
        </w:rPr>
        <w:t>以赤泥的全量化、高附加值及规模化利用为目标，根据矿产赤泥特点，研究广西赤泥堆场污染物迁移转化规律及其环境影响，研究广西赤泥堆场污染物研选应用技术，通过工程示范，构建赤泥固废利用技术体系及管理模式。</w:t>
      </w:r>
    </w:p>
    <w:p>
      <w:pPr>
        <w:jc w:val="left"/>
        <w:rPr>
          <w:rFonts w:eastAsia="黑体"/>
          <w:color w:val="000000"/>
          <w:sz w:val="32"/>
          <w:szCs w:val="32"/>
        </w:rPr>
      </w:pPr>
      <w:r>
        <w:rPr>
          <w:rFonts w:hint="eastAsia" w:ascii="黑体" w:hAnsi="宋体" w:eastAsia="黑体" w:cs="黑体"/>
          <w:color w:val="000000"/>
          <w:sz w:val="32"/>
          <w:szCs w:val="32"/>
          <w:lang w:bidi="ar"/>
        </w:rPr>
        <w:t>二、项目研究内容</w:t>
      </w:r>
    </w:p>
    <w:p>
      <w:pPr>
        <w:ind w:firstLine="640" w:firstLineChars="200"/>
        <w:rPr>
          <w:sz w:val="32"/>
          <w:szCs w:val="32"/>
        </w:rPr>
      </w:pPr>
      <w:r>
        <w:rPr>
          <w:rFonts w:hint="eastAsia" w:ascii="仿宋_GB2312" w:hAnsi="仿宋_GB2312" w:eastAsia="仿宋_GB2312" w:cs="仿宋_GB2312"/>
          <w:sz w:val="32"/>
          <w:szCs w:val="32"/>
          <w:lang w:bidi="ar"/>
        </w:rPr>
        <w:t>开展赤泥污染物迁移规律及环境影响研究，突破赤泥高效除杂关健技术、赤泥资源化利用关键技术，开展广西赤泥大掺量利用的工程示范与推广应用。</w:t>
      </w:r>
    </w:p>
    <w:p>
      <w:pPr>
        <w:jc w:val="left"/>
        <w:rPr>
          <w:rFonts w:eastAsia="黑体"/>
          <w:color w:val="000000"/>
          <w:sz w:val="32"/>
          <w:szCs w:val="32"/>
        </w:rPr>
      </w:pPr>
      <w:r>
        <w:rPr>
          <w:rFonts w:hint="eastAsia" w:ascii="黑体" w:hAnsi="宋体" w:eastAsia="黑体" w:cs="黑体"/>
          <w:color w:val="000000"/>
          <w:sz w:val="32"/>
          <w:szCs w:val="32"/>
          <w:lang w:bidi="ar"/>
        </w:rPr>
        <w:t>三、揭榜方任务及考核指标</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lang w:bidi="ar"/>
        </w:rPr>
        <w:t>（一）</w:t>
      </w:r>
      <w:r>
        <w:rPr>
          <w:rFonts w:ascii="Times New Roman" w:hAnsi="Times New Roman" w:eastAsia="仿宋_GB2312"/>
          <w:sz w:val="32"/>
          <w:szCs w:val="32"/>
          <w:lang w:bidi="ar"/>
        </w:rPr>
        <w:t>突破赤泥固废利用瓶颈技术2项；</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lang w:bidi="ar"/>
        </w:rPr>
        <w:t>（二）</w:t>
      </w:r>
      <w:r>
        <w:rPr>
          <w:rFonts w:ascii="Times New Roman" w:hAnsi="Times New Roman" w:eastAsia="仿宋_GB2312"/>
          <w:sz w:val="32"/>
          <w:szCs w:val="32"/>
          <w:lang w:bidi="ar"/>
        </w:rPr>
        <w:t>获得技术标准3个；</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lang w:bidi="ar"/>
        </w:rPr>
        <w:t>（三）</w:t>
      </w:r>
      <w:r>
        <w:rPr>
          <w:rFonts w:ascii="Times New Roman" w:hAnsi="Times New Roman" w:eastAsia="仿宋_GB2312"/>
          <w:sz w:val="32"/>
          <w:szCs w:val="32"/>
          <w:lang w:bidi="ar"/>
        </w:rPr>
        <w:t>形成1套赤泥利用工艺方案及技术参数；</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lang w:bidi="ar"/>
        </w:rPr>
        <w:t>（四）</w:t>
      </w:r>
      <w:r>
        <w:rPr>
          <w:rFonts w:ascii="Times New Roman" w:hAnsi="Times New Roman" w:eastAsia="仿宋_GB2312"/>
          <w:sz w:val="32"/>
          <w:szCs w:val="32"/>
          <w:lang w:bidi="ar"/>
        </w:rPr>
        <w:t>开发1套赤泥利用独特工艺技术；</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lang w:bidi="ar"/>
        </w:rPr>
        <w:t>（五）</w:t>
      </w:r>
      <w:r>
        <w:rPr>
          <w:rFonts w:ascii="Times New Roman" w:hAnsi="Times New Roman" w:eastAsia="仿宋_GB2312"/>
          <w:sz w:val="32"/>
          <w:szCs w:val="32"/>
          <w:lang w:bidi="ar"/>
        </w:rPr>
        <w:t>建成示范生产线1条；</w:t>
      </w:r>
    </w:p>
    <w:p>
      <w:pPr>
        <w:ind w:firstLine="640" w:firstLineChars="200"/>
        <w:jc w:val="left"/>
        <w:rPr>
          <w:sz w:val="32"/>
          <w:szCs w:val="32"/>
        </w:rPr>
      </w:pPr>
      <w:r>
        <w:rPr>
          <w:rFonts w:hint="eastAsia" w:ascii="Times New Roman" w:hAnsi="Times New Roman" w:eastAsia="仿宋_GB2312"/>
          <w:sz w:val="32"/>
          <w:szCs w:val="32"/>
          <w:lang w:bidi="ar"/>
        </w:rPr>
        <w:t>（六）</w:t>
      </w:r>
      <w:r>
        <w:rPr>
          <w:rFonts w:ascii="Times New Roman" w:hAnsi="Times New Roman" w:eastAsia="仿宋_GB2312"/>
          <w:sz w:val="32"/>
          <w:szCs w:val="32"/>
          <w:lang w:bidi="ar"/>
        </w:rPr>
        <w:t>申请国内外发明专利3项以上。</w:t>
      </w:r>
    </w:p>
    <w:p>
      <w:pPr>
        <w:jc w:val="left"/>
        <w:rPr>
          <w:rFonts w:eastAsia="黑体"/>
          <w:color w:val="000000"/>
          <w:sz w:val="32"/>
          <w:szCs w:val="32"/>
        </w:rPr>
      </w:pPr>
      <w:r>
        <w:rPr>
          <w:rFonts w:hint="eastAsia" w:ascii="黑体" w:hAnsi="宋体" w:eastAsia="黑体" w:cs="黑体"/>
          <w:color w:val="000000"/>
          <w:sz w:val="32"/>
          <w:szCs w:val="32"/>
          <w:lang w:bidi="ar"/>
        </w:rPr>
        <w:t>四、对揭榜方要求</w:t>
      </w:r>
    </w:p>
    <w:p>
      <w:pPr>
        <w:ind w:firstLine="640" w:firstLineChars="200"/>
        <w:jc w:val="left"/>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bidi="ar"/>
        </w:rPr>
        <w:t>具有赤泥综合利用或铁矿磁化还原焙烧相关研究经历，具有前期合作基础，具有良好的社会信誉，项目团队成员具有主持或参与过国家项目研究经历，具备较高的研究水平，能够为本项目的顺利提供硬件支持。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本需求专业领域涉及冶金工程、环境工程、道路工程、材料工程、分析化学等，专业交叉明显，研究任务艰巨。</w:t>
      </w:r>
    </w:p>
    <w:p>
      <w:pPr>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对揭榜方要求如下：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（一）需要我区环保领域单位和在赤泥的无害化处置和资源化利用方面有深厚的理论基础和技术研发优势的单位组成联合体揭榜，确保研究成果和技术需在我区开展工程示范。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二）接榜方应拥有较强的成果研发和转化应用队伍，能够提出科学合理的项目实施方案，并在赤泥处置和综合利用等方面具有足够的科研能力和研究基础，能够通过学科交叉、产学研结合，推动我区赤泥规模化技术研发和应用，进而提升我区铝工业可持续发展能力和产业升级。</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（三）须通过实施本项目，推动赤泥堆存场所风险管控及铝工业可持续发展，实现生态、环境、经济、社会效益统一。</w:t>
      </w:r>
    </w:p>
    <w:p>
      <w:pPr>
        <w:widowControl/>
        <w:jc w:val="left"/>
        <w:rPr>
          <w:rFonts w:ascii="Times New Roman" w:hAnsi="Times New Roman"/>
          <w:sz w:val="32"/>
          <w:szCs w:val="32"/>
        </w:rPr>
      </w:pPr>
      <w:r>
        <w:rPr>
          <w:rFonts w:ascii="Times New Roman" w:hAnsi="Times New Roman" w:eastAsia="黑体"/>
          <w:color w:val="000000"/>
          <w:sz w:val="32"/>
          <w:szCs w:val="32"/>
          <w:lang w:bidi="ar"/>
        </w:rPr>
        <w:t>五、项目实施周期：</w:t>
      </w:r>
      <w:r>
        <w:rPr>
          <w:rFonts w:ascii="Times New Roman" w:hAnsi="Times New Roman" w:eastAsia="仿宋_GB2312"/>
          <w:sz w:val="32"/>
          <w:szCs w:val="32"/>
          <w:lang w:bidi="ar"/>
        </w:rPr>
        <w:t xml:space="preserve">4年 </w:t>
      </w:r>
      <w:r>
        <w:rPr>
          <w:rFonts w:ascii="Times New Roman" w:hAnsi="Times New Roman" w:eastAsia="方正仿宋_GBK"/>
          <w:color w:val="FF0000"/>
          <w:sz w:val="28"/>
          <w:szCs w:val="28"/>
          <w:lang w:bidi="ar"/>
        </w:rPr>
        <w:t xml:space="preserve"> </w:t>
      </w:r>
      <w:r>
        <w:rPr>
          <w:rFonts w:ascii="Times New Roman" w:hAnsi="Times New Roman" w:eastAsia="方正仿宋_GBK"/>
          <w:color w:val="FF0000"/>
          <w:sz w:val="28"/>
          <w:szCs w:val="28"/>
          <w:lang w:bidi="ar"/>
        </w:rPr>
        <w:tab/>
      </w:r>
    </w:p>
    <w:p>
      <w:pPr>
        <w:widowControl/>
        <w:jc w:val="left"/>
        <w:rPr>
          <w:rFonts w:ascii="Times New Roman" w:hAnsi="Times New Roman" w:eastAsia="仿宋_GB2312"/>
          <w:sz w:val="32"/>
          <w:szCs w:val="32"/>
        </w:rPr>
      </w:pPr>
      <w:r>
        <w:rPr>
          <w:rFonts w:ascii="Times New Roman" w:hAnsi="Times New Roman" w:eastAsia="黑体"/>
          <w:color w:val="000000"/>
          <w:sz w:val="32"/>
          <w:szCs w:val="32"/>
          <w:lang w:bidi="ar"/>
        </w:rPr>
        <w:t>六、项目总投入预算：</w:t>
      </w:r>
      <w:r>
        <w:rPr>
          <w:rFonts w:ascii="Times New Roman" w:hAnsi="Times New Roman" w:eastAsia="仿宋_GB2312"/>
          <w:color w:val="000000"/>
          <w:sz w:val="32"/>
          <w:szCs w:val="32"/>
          <w:lang w:bidi="ar"/>
        </w:rPr>
        <w:t>5000</w:t>
      </w:r>
      <w:r>
        <w:rPr>
          <w:rFonts w:ascii="Times New Roman" w:hAnsi="Times New Roman" w:eastAsia="仿宋_GB2312"/>
          <w:sz w:val="32"/>
          <w:szCs w:val="32"/>
          <w:lang w:bidi="ar"/>
        </w:rPr>
        <w:t>万元</w:t>
      </w:r>
    </w:p>
    <w:p>
      <w:pPr>
        <w:ind w:left="640" w:hanging="640" w:hangingChars="200"/>
        <w:jc w:val="left"/>
        <w:rPr>
          <w:rFonts w:ascii="Times New Roman" w:hAnsi="Times New Roman"/>
          <w:sz w:val="32"/>
          <w:szCs w:val="32"/>
        </w:rPr>
      </w:pPr>
      <w:r>
        <w:rPr>
          <w:rFonts w:ascii="Times New Roman" w:hAnsi="Times New Roman" w:eastAsia="黑体"/>
          <w:color w:val="000000"/>
          <w:sz w:val="32"/>
          <w:szCs w:val="32"/>
          <w:lang w:bidi="ar"/>
        </w:rPr>
        <w:t>七、项目预期效益：</w:t>
      </w:r>
      <w:r>
        <w:rPr>
          <w:rFonts w:ascii="Times New Roman" w:hAnsi="Times New Roman" w:eastAsia="仿宋_GB2312"/>
          <w:sz w:val="32"/>
          <w:szCs w:val="32"/>
          <w:lang w:bidi="ar"/>
        </w:rPr>
        <w:t>引导企业投入研发经费5000万元，突破1-2项关键瓶颈技术，形成1-2项科技成果，获得专利3-5项，技术标准1-2个，研发出1-2个新产品，实现新增产值10000万元，利税1000万元。</w:t>
      </w:r>
    </w:p>
    <w:p>
      <w:pPr>
        <w:jc w:val="left"/>
        <w:rPr>
          <w:rFonts w:ascii="Times New Roman" w:hAnsi="Times New Roman" w:eastAsia="黑体"/>
          <w:color w:val="000000"/>
          <w:sz w:val="32"/>
          <w:szCs w:val="32"/>
        </w:rPr>
      </w:pPr>
      <w:r>
        <w:rPr>
          <w:rFonts w:ascii="Times New Roman" w:hAnsi="Times New Roman" w:eastAsia="黑体"/>
          <w:color w:val="000000"/>
          <w:sz w:val="32"/>
          <w:szCs w:val="32"/>
          <w:lang w:bidi="ar"/>
        </w:rPr>
        <w:t>八、联系方式</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联系人：杨群太</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联系电话：13768005015</w:t>
      </w:r>
    </w:p>
    <w:p>
      <w:pPr>
        <w:ind w:firstLine="640" w:firstLineChars="200"/>
        <w:rPr>
          <w:rFonts w:ascii="Times New Roman" w:hAnsi="Times New Roman"/>
          <w:szCs w:val="21"/>
        </w:rPr>
      </w:pPr>
      <w:r>
        <w:rPr>
          <w:rFonts w:ascii="Times New Roman" w:hAnsi="Times New Roman" w:eastAsia="仿宋_GB2312"/>
          <w:sz w:val="32"/>
          <w:szCs w:val="32"/>
          <w:lang w:bidi="ar"/>
        </w:rPr>
        <w:t>地址：防城港经济技术开发区</w:t>
      </w:r>
    </w:p>
    <w:p>
      <w:pPr>
        <w:ind w:firstLine="640" w:firstLineChars="200"/>
        <w:rPr>
          <w:rFonts w:ascii="Times New Roman" w:hAnsi="Times New Roman"/>
          <w:sz w:val="32"/>
          <w:szCs w:val="32"/>
        </w:rPr>
      </w:pPr>
      <w:r>
        <w:rPr>
          <w:rFonts w:ascii="Times New Roman" w:hAnsi="Times New Roman"/>
          <w:sz w:val="32"/>
          <w:szCs w:val="32"/>
          <w:lang w:bidi="ar"/>
        </w:rPr>
        <w:t xml:space="preserve"> </w:t>
      </w:r>
    </w:p>
    <w:p>
      <w:pPr>
        <w:ind w:firstLine="640" w:firstLineChars="200"/>
        <w:rPr>
          <w:rFonts w:ascii="Times New Roman" w:hAnsi="Times New Roman"/>
          <w:sz w:val="32"/>
          <w:szCs w:val="32"/>
        </w:rPr>
      </w:pPr>
      <w:r>
        <w:rPr>
          <w:rFonts w:ascii="Times New Roman" w:hAnsi="Times New Roman"/>
          <w:sz w:val="32"/>
          <w:szCs w:val="32"/>
          <w:lang w:bidi="ar"/>
        </w:rPr>
        <w:t xml:space="preserve"> </w:t>
      </w:r>
    </w:p>
    <w:p>
      <w:pPr>
        <w:rPr>
          <w:rFonts w:cs="宋体"/>
          <w:szCs w:val="21"/>
        </w:rPr>
      </w:pPr>
      <w:r>
        <w:rPr>
          <w:rFonts w:ascii="Times New Roman" w:hAnsi="Times New Roman"/>
          <w:szCs w:val="21"/>
          <w:lang w:bidi="ar"/>
        </w:rPr>
        <w:br w:type="page"/>
      </w:r>
    </w:p>
    <w:p>
      <w:pPr>
        <w:spacing w:before="240" w:after="60"/>
        <w:outlineLvl w:val="0"/>
        <w:rPr>
          <w:rFonts w:hint="eastAsia" w:ascii="仿宋_GB2312" w:hAnsi="仿宋_GB2312" w:eastAsia="仿宋_GB2312" w:cs="仿宋_GB2312"/>
          <w:b/>
          <w:sz w:val="32"/>
          <w:szCs w:val="32"/>
        </w:rPr>
      </w:pPr>
      <w:bookmarkStart w:id="12" w:name="_Toc5436"/>
      <w:bookmarkEnd w:id="12"/>
      <w:bookmarkStart w:id="13" w:name="_Toc730"/>
      <w:bookmarkEnd w:id="13"/>
      <w:bookmarkStart w:id="14" w:name="_Toc24947"/>
      <w:bookmarkEnd w:id="14"/>
      <w:bookmarkStart w:id="15" w:name="_Toc10128"/>
      <w:bookmarkEnd w:id="15"/>
      <w:bookmarkStart w:id="16" w:name="_Toc24794"/>
      <w:bookmarkEnd w:id="16"/>
      <w:bookmarkStart w:id="17" w:name="_Toc22115"/>
      <w:bookmarkEnd w:id="17"/>
      <w:bookmarkStart w:id="18" w:name="_Toc19624"/>
      <w:bookmarkStart w:id="19" w:name="_Toc81302447"/>
      <w:bookmarkStart w:id="20" w:name="_Toc16303"/>
      <w:bookmarkStart w:id="21" w:name="_Toc81302387"/>
      <w:r>
        <w:rPr>
          <w:rFonts w:hint="eastAsia" w:ascii="仿宋_GB2312" w:hAnsi="仿宋_GB2312" w:eastAsia="仿宋_GB2312" w:cs="仿宋_GB2312"/>
          <w:b/>
          <w:sz w:val="32"/>
          <w:szCs w:val="32"/>
          <w:lang w:bidi="ar"/>
        </w:rPr>
        <w:t>项目</w:t>
      </w:r>
      <w:bookmarkEnd w:id="18"/>
      <w:r>
        <w:rPr>
          <w:rFonts w:hint="eastAsia" w:ascii="仿宋_GB2312" w:hAnsi="仿宋_GB2312" w:eastAsia="仿宋_GB2312" w:cs="仿宋_GB2312"/>
          <w:b/>
          <w:sz w:val="32"/>
          <w:szCs w:val="32"/>
          <w:lang w:bidi="ar"/>
        </w:rPr>
        <w:t>名称：</w:t>
      </w:r>
      <w:r>
        <w:rPr>
          <w:rFonts w:hint="eastAsia" w:ascii="仿宋_GB2312" w:hAnsi="仿宋_GB2312" w:eastAsia="仿宋_GB2312" w:cs="仿宋_GB2312"/>
          <w:bCs/>
          <w:sz w:val="32"/>
          <w:szCs w:val="32"/>
          <w:lang w:bidi="ar"/>
        </w:rPr>
        <w:t>混合动力集成式控制器开发及应用</w:t>
      </w:r>
      <w:r>
        <w:rPr>
          <w:rFonts w:hint="eastAsia" w:ascii="仿宋_GB2312" w:hAnsi="仿宋_GB2312" w:eastAsia="仿宋_GB2312" w:cs="仿宋_GB2312"/>
          <w:b/>
          <w:sz w:val="32"/>
          <w:szCs w:val="32"/>
          <w:lang w:bidi="ar"/>
        </w:rPr>
        <w:t xml:space="preserve"> </w:t>
      </w:r>
      <w:bookmarkEnd w:id="19"/>
      <w:bookmarkEnd w:id="20"/>
      <w:bookmarkEnd w:id="21"/>
    </w:p>
    <w:p>
      <w:pPr>
        <w:jc w:val="left"/>
        <w:rPr>
          <w:rFonts w:hint="eastAsia" w:ascii="仿宋_GB2312" w:hAnsi="仿宋_GB2312" w:eastAsia="仿宋_GB2312" w:cs="仿宋_GB2312"/>
          <w:sz w:val="48"/>
          <w:szCs w:val="48"/>
        </w:rPr>
      </w:pPr>
      <w:r>
        <w:rPr>
          <w:rFonts w:hint="eastAsia" w:ascii="黑体" w:hAnsi="宋体" w:eastAsia="黑体" w:cs="宋体"/>
          <w:color w:val="000000"/>
          <w:sz w:val="32"/>
          <w:szCs w:val="32"/>
          <w:lang w:bidi="ar"/>
        </w:rPr>
        <w:t>需求企业：</w:t>
      </w:r>
      <w:r>
        <w:rPr>
          <w:rFonts w:hint="eastAsia" w:ascii="仿宋_GB2312" w:hAnsi="仿宋_GB2312" w:eastAsia="仿宋_GB2312" w:cs="仿宋_GB2312"/>
          <w:sz w:val="32"/>
          <w:szCs w:val="32"/>
          <w:lang w:bidi="ar"/>
        </w:rPr>
        <w:t>广西玉柴机器股份有限公司</w:t>
      </w:r>
    </w:p>
    <w:p>
      <w:pPr>
        <w:jc w:val="left"/>
        <w:rPr>
          <w:rFonts w:cs="宋体"/>
          <w:sz w:val="32"/>
          <w:szCs w:val="32"/>
        </w:rPr>
      </w:pPr>
    </w:p>
    <w:p>
      <w:pPr>
        <w:jc w:val="left"/>
        <w:rPr>
          <w:rFonts w:hint="eastAsia" w:ascii="黑体" w:hAnsi="宋体" w:eastAsia="黑体" w:cs="宋体"/>
          <w:color w:val="000000"/>
          <w:sz w:val="32"/>
          <w:szCs w:val="32"/>
        </w:rPr>
      </w:pPr>
      <w:r>
        <w:rPr>
          <w:rFonts w:hint="eastAsia" w:ascii="黑体" w:hAnsi="宋体" w:eastAsia="黑体" w:cs="宋体"/>
          <w:color w:val="000000"/>
          <w:sz w:val="32"/>
          <w:szCs w:val="32"/>
          <w:lang w:bidi="ar"/>
        </w:rPr>
        <w:t>一、转化目标</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（一）</w:t>
      </w:r>
      <w:r>
        <w:rPr>
          <w:rFonts w:ascii="Times New Roman" w:hAnsi="Times New Roman" w:eastAsia="仿宋_GB2312"/>
          <w:sz w:val="32"/>
          <w:szCs w:val="32"/>
          <w:lang w:bidi="ar"/>
        </w:rPr>
        <w:t>基于国六柴油机+eCVT混合动力总成，匹配集成式智能控制器批量应用在商用车领域。</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（二）</w:t>
      </w:r>
      <w:r>
        <w:rPr>
          <w:rFonts w:ascii="Times New Roman" w:hAnsi="Times New Roman" w:eastAsia="仿宋_GB2312"/>
          <w:sz w:val="32"/>
          <w:szCs w:val="32"/>
          <w:lang w:bidi="ar"/>
        </w:rPr>
        <w:t>混动动力商用车3年的年产销量大于5000台。</w:t>
      </w:r>
    </w:p>
    <w:p>
      <w:pPr>
        <w:jc w:val="left"/>
        <w:rPr>
          <w:rFonts w:hint="eastAsia" w:ascii="黑体" w:hAnsi="宋体" w:eastAsia="黑体" w:cs="宋体"/>
          <w:color w:val="000000"/>
          <w:sz w:val="32"/>
          <w:szCs w:val="32"/>
        </w:rPr>
      </w:pPr>
      <w:r>
        <w:rPr>
          <w:rFonts w:hint="eastAsia" w:ascii="黑体" w:hAnsi="宋体" w:eastAsia="黑体" w:cs="宋体"/>
          <w:color w:val="000000"/>
          <w:sz w:val="32"/>
          <w:szCs w:val="32"/>
          <w:lang w:bidi="ar"/>
        </w:rPr>
        <w:t>二、转化内容与形式</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（一）</w:t>
      </w:r>
      <w:r>
        <w:rPr>
          <w:rFonts w:ascii="Times New Roman" w:hAnsi="Times New Roman" w:eastAsia="仿宋_GB2312"/>
          <w:sz w:val="32"/>
          <w:szCs w:val="32"/>
          <w:lang w:bidi="ar"/>
        </w:rPr>
        <w:t>国六柴油机+eCVT混合动力总成完成试验样车装配。</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（二）</w:t>
      </w:r>
      <w:r>
        <w:rPr>
          <w:rFonts w:ascii="Times New Roman" w:hAnsi="Times New Roman" w:eastAsia="仿宋_GB2312"/>
          <w:sz w:val="32"/>
          <w:szCs w:val="32"/>
          <w:lang w:bidi="ar"/>
        </w:rPr>
        <w:t>集成式控制器软硬件匹配国六柴油机+eCVT混合动力总成并优化。</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（三）</w:t>
      </w:r>
      <w:r>
        <w:rPr>
          <w:rFonts w:ascii="Times New Roman" w:hAnsi="Times New Roman" w:eastAsia="仿宋_GB2312"/>
          <w:sz w:val="32"/>
          <w:szCs w:val="32"/>
          <w:lang w:bidi="ar"/>
        </w:rPr>
        <w:t>基于国六柴油机+eCVT混合动力总成，匹配集成式智能控制器的混合动力商用车的量产。</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（四）</w:t>
      </w:r>
      <w:r>
        <w:rPr>
          <w:rFonts w:ascii="Times New Roman" w:hAnsi="Times New Roman" w:eastAsia="仿宋_GB2312"/>
          <w:sz w:val="32"/>
          <w:szCs w:val="32"/>
          <w:lang w:bidi="ar"/>
        </w:rPr>
        <w:t>混动动力商用车3年的年产销量大于5000台。</w:t>
      </w:r>
    </w:p>
    <w:p>
      <w:pPr>
        <w:jc w:val="left"/>
        <w:rPr>
          <w:rFonts w:hint="eastAsia" w:ascii="黑体" w:hAnsi="宋体" w:eastAsia="黑体" w:cs="宋体"/>
          <w:color w:val="000000"/>
          <w:sz w:val="32"/>
          <w:szCs w:val="32"/>
        </w:rPr>
      </w:pPr>
      <w:r>
        <w:rPr>
          <w:rFonts w:hint="eastAsia" w:ascii="黑体" w:hAnsi="宋体" w:eastAsia="黑体" w:cs="宋体"/>
          <w:color w:val="000000"/>
          <w:sz w:val="32"/>
          <w:szCs w:val="32"/>
          <w:lang w:bidi="ar"/>
        </w:rPr>
        <w:t>三、揭榜方任务及考核指标</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（一）</w:t>
      </w:r>
      <w:r>
        <w:rPr>
          <w:rFonts w:ascii="Times New Roman" w:hAnsi="Times New Roman" w:eastAsia="仿宋_GB2312"/>
          <w:sz w:val="32"/>
          <w:szCs w:val="32"/>
          <w:lang w:bidi="ar"/>
        </w:rPr>
        <w:t>配合需求单位完成上述研究内容。</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（二）</w:t>
      </w:r>
      <w:r>
        <w:rPr>
          <w:rFonts w:ascii="Times New Roman" w:hAnsi="Times New Roman" w:eastAsia="仿宋_GB2312"/>
          <w:sz w:val="32"/>
          <w:szCs w:val="32"/>
          <w:lang w:bidi="ar"/>
        </w:rPr>
        <w:t>混动动力商用车3年的年产销量大于5000台。</w:t>
      </w:r>
    </w:p>
    <w:p>
      <w:pPr>
        <w:jc w:val="left"/>
        <w:rPr>
          <w:rFonts w:hint="eastAsia" w:ascii="黑体" w:hAnsi="宋体" w:eastAsia="黑体" w:cs="宋体"/>
          <w:color w:val="000000"/>
          <w:sz w:val="32"/>
          <w:szCs w:val="32"/>
        </w:rPr>
      </w:pPr>
      <w:r>
        <w:rPr>
          <w:rFonts w:hint="eastAsia" w:ascii="黑体" w:hAnsi="宋体" w:eastAsia="黑体" w:cs="宋体"/>
          <w:color w:val="000000"/>
          <w:sz w:val="32"/>
          <w:szCs w:val="32"/>
          <w:lang w:bidi="ar"/>
        </w:rPr>
        <w:t>四、对揭榜方要求</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（一）</w:t>
      </w:r>
      <w:r>
        <w:rPr>
          <w:rFonts w:ascii="Times New Roman" w:hAnsi="Times New Roman" w:eastAsia="仿宋_GB2312"/>
          <w:sz w:val="32"/>
          <w:szCs w:val="32"/>
          <w:lang w:bidi="ar"/>
        </w:rPr>
        <w:t>具备商用车整车设计、开发、验证、生产能力。</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（二）</w:t>
      </w:r>
      <w:r>
        <w:rPr>
          <w:rFonts w:ascii="Times New Roman" w:hAnsi="Times New Roman" w:eastAsia="仿宋_GB2312"/>
          <w:sz w:val="32"/>
          <w:szCs w:val="32"/>
          <w:lang w:bidi="ar"/>
        </w:rPr>
        <w:t>年销售商用车产量&gt;5万台。</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bidi="ar"/>
        </w:rPr>
        <w:t>（三）</w:t>
      </w:r>
      <w:r>
        <w:rPr>
          <w:rFonts w:ascii="Times New Roman" w:hAnsi="Times New Roman" w:eastAsia="仿宋_GB2312"/>
          <w:sz w:val="32"/>
          <w:szCs w:val="32"/>
          <w:lang w:bidi="ar"/>
        </w:rPr>
        <w:t>区内有技术需求和应用需求的企业或由其牵头的联合体（与需求方不能为同一单位或其下属子公司）。</w:t>
      </w:r>
    </w:p>
    <w:p>
      <w:pPr>
        <w:jc w:val="left"/>
        <w:rPr>
          <w:rFonts w:ascii="Times New Roman" w:hAnsi="Times New Roman" w:eastAsia="仿宋_GB2312"/>
          <w:sz w:val="32"/>
          <w:szCs w:val="32"/>
        </w:rPr>
      </w:pPr>
      <w:r>
        <w:rPr>
          <w:rFonts w:hint="eastAsia" w:ascii="黑体" w:hAnsi="宋体" w:eastAsia="黑体" w:cs="宋体"/>
          <w:color w:val="000000"/>
          <w:sz w:val="32"/>
          <w:szCs w:val="32"/>
          <w:lang w:bidi="ar"/>
        </w:rPr>
        <w:t>五、项目实施周期：</w:t>
      </w:r>
      <w:r>
        <w:rPr>
          <w:rFonts w:ascii="Times New Roman" w:hAnsi="Times New Roman" w:eastAsia="仿宋_GB2312"/>
          <w:sz w:val="32"/>
          <w:szCs w:val="32"/>
          <w:lang w:bidi="ar"/>
        </w:rPr>
        <w:t>3年</w:t>
      </w:r>
    </w:p>
    <w:p>
      <w:pPr>
        <w:jc w:val="left"/>
        <w:rPr>
          <w:rFonts w:ascii="Times New Roman" w:hAnsi="Times New Roman" w:eastAsia="仿宋_GB2312"/>
          <w:sz w:val="32"/>
          <w:szCs w:val="32"/>
        </w:rPr>
      </w:pPr>
      <w:r>
        <w:rPr>
          <w:rFonts w:hint="eastAsia" w:ascii="黑体" w:hAnsi="宋体" w:eastAsia="黑体" w:cs="宋体"/>
          <w:color w:val="000000"/>
          <w:sz w:val="32"/>
          <w:szCs w:val="32"/>
          <w:lang w:bidi="ar"/>
        </w:rPr>
        <w:t>六、项目总投入预算：</w:t>
      </w:r>
      <w:r>
        <w:rPr>
          <w:rFonts w:ascii="Times New Roman" w:hAnsi="Times New Roman" w:eastAsia="仿宋_GB2312"/>
          <w:sz w:val="32"/>
          <w:szCs w:val="32"/>
          <w:lang w:bidi="ar"/>
        </w:rPr>
        <w:t>5000万元</w:t>
      </w:r>
    </w:p>
    <w:p>
      <w:pPr>
        <w:ind w:left="640" w:hanging="640" w:hangingChars="200"/>
        <w:jc w:val="left"/>
        <w:rPr>
          <w:rFonts w:ascii="Times New Roman" w:hAnsi="Times New Roman" w:eastAsia="仿宋_GB2312"/>
          <w:sz w:val="32"/>
          <w:szCs w:val="32"/>
          <w:highlight w:val="yellow"/>
        </w:rPr>
      </w:pPr>
      <w:r>
        <w:rPr>
          <w:rFonts w:hint="eastAsia" w:ascii="黑体" w:hAnsi="宋体" w:eastAsia="黑体" w:cs="Calibri"/>
          <w:color w:val="000000"/>
          <w:sz w:val="32"/>
          <w:szCs w:val="32"/>
          <w:lang w:bidi="ar"/>
        </w:rPr>
        <w:t>七、项目预期效益</w:t>
      </w:r>
      <w:r>
        <w:rPr>
          <w:rFonts w:hint="eastAsia" w:ascii="宋体" w:hAnsi="宋体" w:cs="Calibri"/>
          <w:sz w:val="32"/>
          <w:szCs w:val="32"/>
          <w:lang w:bidi="ar"/>
        </w:rPr>
        <w:t>：</w:t>
      </w:r>
      <w:r>
        <w:rPr>
          <w:rFonts w:ascii="Times New Roman" w:hAnsi="Times New Roman" w:eastAsia="仿宋_GB2312"/>
          <w:sz w:val="32"/>
          <w:szCs w:val="32"/>
          <w:lang w:bidi="ar"/>
        </w:rPr>
        <w:t>引导企业投入研发经费4500万元，突破4-5项关键瓶颈技术，形成2-3项科技成果，获得专利10项，技术标准2个，研发出1-2个新产品，实现新增产值80900万元，利税11730万元。</w:t>
      </w:r>
    </w:p>
    <w:p>
      <w:pPr>
        <w:jc w:val="left"/>
        <w:rPr>
          <w:rFonts w:hint="eastAsia" w:ascii="黑体" w:hAnsi="宋体" w:eastAsia="黑体" w:cs="宋体"/>
          <w:color w:val="000000"/>
          <w:sz w:val="32"/>
          <w:szCs w:val="32"/>
        </w:rPr>
      </w:pPr>
      <w:r>
        <w:rPr>
          <w:rFonts w:hint="eastAsia" w:ascii="黑体" w:hAnsi="宋体" w:eastAsia="黑体" w:cs="宋体"/>
          <w:color w:val="000000"/>
          <w:sz w:val="32"/>
          <w:szCs w:val="32"/>
          <w:lang w:bidi="ar"/>
        </w:rPr>
        <w:t>八、联系方式</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联系人：王辉</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联系电话：13768985114</w:t>
      </w:r>
    </w:p>
    <w:p>
      <w:pPr>
        <w:ind w:firstLine="640" w:firstLineChars="200"/>
        <w:rPr>
          <w:rFonts w:ascii="Times New Roman" w:hAnsi="Times New Roman" w:eastAsia="仿宋_GB2312"/>
          <w:sz w:val="32"/>
          <w:szCs w:val="32"/>
        </w:rPr>
      </w:pPr>
      <w:r>
        <w:rPr>
          <w:rFonts w:ascii="Times New Roman" w:hAnsi="Times New Roman" w:eastAsia="仿宋_GB2312"/>
          <w:sz w:val="32"/>
          <w:szCs w:val="32"/>
          <w:lang w:bidi="ar"/>
        </w:rPr>
        <w:t>地址：广西玉林市天桥西路88号</w:t>
      </w:r>
    </w:p>
    <w:p>
      <w:bookmarkStart w:id="22" w:name="_Toc27486"/>
      <w:bookmarkEnd w:id="22"/>
    </w:p>
    <w:p/>
    <w:p/>
    <w:p/>
    <w:p/>
    <w:p/>
    <w:p/>
    <w:p/>
    <w:p/>
    <w:p/>
    <w:p/>
    <w:p/>
    <w:p/>
    <w:p/>
    <w:p/>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7CDE41-0262-440A-8152-A01DC05B32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2D44F4F-65C1-4313-8AE3-08DDED3FDDC8}"/>
  </w:font>
  <w:font w:name="@文星楷体">
    <w:altName w:val="宋体"/>
    <w:panose1 w:val="02010604000101010101"/>
    <w:charset w:val="86"/>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3" w:fontKey="{62823F63-CF87-4E6E-8D46-72215629C861}"/>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4" w:fontKey="{CFD642BF-6F6F-4840-90C4-DD781BDD0CEA}"/>
  </w:font>
  <w:font w:name="方正仿宋_GBK">
    <w:panose1 w:val="02000000000000000000"/>
    <w:charset w:val="86"/>
    <w:family w:val="script"/>
    <w:pitch w:val="default"/>
    <w:sig w:usb0="A00002BF" w:usb1="38CF7CFA" w:usb2="00082016" w:usb3="00000000" w:csb0="00040001" w:csb1="00000000"/>
    <w:embedRegular r:id="rId5" w:fontKey="{6ED8F839-2818-4E5D-BDF0-12BC8CD853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t>1</w:t>
                          </w:r>
                          <w:r>
                            <w:rPr>
                              <w:rFonts w:hint="eastAsia" w:ascii="仿宋_GB2312" w:hAnsi="仿宋_GB2312" w:eastAsia="仿宋_GB2312" w:cs="仿宋_GB2312"/>
                              <w:sz w:val="32"/>
                              <w:szCs w:val="32"/>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fill on="f" focussize="0,0"/>
              <v:stroke on="f"/>
              <v:imagedata o:title=""/>
              <o:lock v:ext="edit" aspectratio="f"/>
              <v:textbox inset="0mm,0mm,0mm,0mm" style="mso-fit-shape-to-text:t;">
                <w:txbxContent>
                  <w:p>
                    <w:pPr>
                      <w:pStyle w:val="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t>1</w:t>
                    </w:r>
                    <w:r>
                      <w:rPr>
                        <w:rFonts w:hint="eastAsia" w:ascii="仿宋_GB2312" w:hAnsi="仿宋_GB2312" w:eastAsia="仿宋_GB2312" w:cs="仿宋_GB2312"/>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dit="trackedChanges"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E5E"/>
    <w:rsid w:val="000B0E5E"/>
    <w:rsid w:val="001B0720"/>
    <w:rsid w:val="00235B90"/>
    <w:rsid w:val="00423B99"/>
    <w:rsid w:val="00525DBD"/>
    <w:rsid w:val="005B6B08"/>
    <w:rsid w:val="006908B0"/>
    <w:rsid w:val="00BF2265"/>
    <w:rsid w:val="00E21306"/>
    <w:rsid w:val="00EB5FD3"/>
    <w:rsid w:val="02DC5A53"/>
    <w:rsid w:val="183C727F"/>
    <w:rsid w:val="183F1C58"/>
    <w:rsid w:val="18E775F2"/>
    <w:rsid w:val="1C581D8E"/>
    <w:rsid w:val="1F6E1608"/>
    <w:rsid w:val="21D2363C"/>
    <w:rsid w:val="221A45B2"/>
    <w:rsid w:val="22DB65FB"/>
    <w:rsid w:val="2A8D1F64"/>
    <w:rsid w:val="2D5602DB"/>
    <w:rsid w:val="2E8779AE"/>
    <w:rsid w:val="31546D1F"/>
    <w:rsid w:val="32790490"/>
    <w:rsid w:val="328833D3"/>
    <w:rsid w:val="34653A89"/>
    <w:rsid w:val="351F7387"/>
    <w:rsid w:val="355037AB"/>
    <w:rsid w:val="3B7C66CF"/>
    <w:rsid w:val="3D5B3C7D"/>
    <w:rsid w:val="3E032ED9"/>
    <w:rsid w:val="40AC34AB"/>
    <w:rsid w:val="42426863"/>
    <w:rsid w:val="43BC6868"/>
    <w:rsid w:val="44120504"/>
    <w:rsid w:val="443A4B82"/>
    <w:rsid w:val="45385687"/>
    <w:rsid w:val="49A92CCB"/>
    <w:rsid w:val="4ADC325E"/>
    <w:rsid w:val="4DE72755"/>
    <w:rsid w:val="4E340B4C"/>
    <w:rsid w:val="4EBD0FF3"/>
    <w:rsid w:val="54826C7C"/>
    <w:rsid w:val="55E64216"/>
    <w:rsid w:val="57CB46D8"/>
    <w:rsid w:val="57DB22F9"/>
    <w:rsid w:val="588073F9"/>
    <w:rsid w:val="59535FFD"/>
    <w:rsid w:val="60BE5E1E"/>
    <w:rsid w:val="60D73B2D"/>
    <w:rsid w:val="62CA72B6"/>
    <w:rsid w:val="68040452"/>
    <w:rsid w:val="6A071F3D"/>
    <w:rsid w:val="6A357CF4"/>
    <w:rsid w:val="6A845D7A"/>
    <w:rsid w:val="6D5648E7"/>
    <w:rsid w:val="709E11DA"/>
    <w:rsid w:val="7732511D"/>
    <w:rsid w:val="789F1915"/>
    <w:rsid w:val="7B1B1C5D"/>
    <w:rsid w:val="7B967710"/>
    <w:rsid w:val="7F0939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100" w:beforeAutospacing="1" w:after="100" w:afterAutospacing="1"/>
      <w:jc w:val="left"/>
    </w:pPr>
    <w:rPr>
      <w:rFonts w:hint="eastAsia" w:ascii="宋体" w:hAnsi="宋体" w:eastAsia="宋体" w:cs="宋体"/>
      <w:b/>
      <w:bCs/>
      <w:kern w:val="44"/>
      <w:sz w:val="48"/>
      <w:szCs w:val="48"/>
      <w:lang w:val="en-US" w:eastAsia="zh-CN" w:bidi="ar"/>
    </w:rPr>
  </w:style>
  <w:style w:type="paragraph" w:styleId="2">
    <w:name w:val="heading 4"/>
    <w:basedOn w:val="1"/>
    <w:next w:val="1"/>
    <w:qFormat/>
    <w:uiPriority w:val="0"/>
    <w:pPr>
      <w:spacing w:before="100" w:beforeAutospacing="1" w:after="10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unhideWhenUsed/>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alloon Text"/>
    <w:basedOn w:val="1"/>
    <w:link w:val="20"/>
    <w:semiHidden/>
    <w:unhideWhenUsed/>
    <w:uiPriority w:val="99"/>
    <w:rPr>
      <w:sz w:val="18"/>
      <w:szCs w:val="18"/>
    </w:rPr>
  </w:style>
  <w:style w:type="paragraph" w:styleId="6">
    <w:name w:val="footer"/>
    <w:basedOn w:val="1"/>
    <w:link w:val="14"/>
    <w:unhideWhenUsed/>
    <w:uiPriority w:val="99"/>
    <w:pPr>
      <w:tabs>
        <w:tab w:val="center" w:pos="4153"/>
        <w:tab w:val="right" w:pos="8306"/>
      </w:tabs>
      <w:snapToGrid w:val="0"/>
      <w:jc w:val="left"/>
    </w:pPr>
    <w:rPr>
      <w:sz w:val="18"/>
      <w:szCs w:val="18"/>
    </w:rPr>
  </w:style>
  <w:style w:type="paragraph" w:styleId="7">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kern w:val="2"/>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qFormat/>
    <w:uiPriority w:val="0"/>
    <w:rPr>
      <w:rFonts w:eastAsia="宋体"/>
      <w:sz w:val="28"/>
    </w:rPr>
  </w:style>
  <w:style w:type="character" w:customStyle="1" w:styleId="14">
    <w:name w:val="页脚 Char"/>
    <w:link w:val="6"/>
    <w:semiHidden/>
    <w:qFormat/>
    <w:uiPriority w:val="99"/>
    <w:rPr>
      <w:kern w:val="2"/>
      <w:sz w:val="18"/>
      <w:szCs w:val="18"/>
    </w:rPr>
  </w:style>
  <w:style w:type="character" w:customStyle="1" w:styleId="15">
    <w:name w:val="页眉 Char"/>
    <w:link w:val="7"/>
    <w:semiHidden/>
    <w:qFormat/>
    <w:uiPriority w:val="99"/>
    <w:rPr>
      <w:kern w:val="2"/>
      <w:sz w:val="18"/>
      <w:szCs w:val="18"/>
    </w:rPr>
  </w:style>
  <w:style w:type="paragraph" w:customStyle="1" w:styleId="16">
    <w:name w:val="纯文本2"/>
    <w:basedOn w:val="1"/>
    <w:qFormat/>
    <w:uiPriority w:val="0"/>
    <w:rPr>
      <w:rFonts w:ascii="宋体" w:hAnsi="Courier New" w:cs="Courier New"/>
      <w:kern w:val="0"/>
      <w:sz w:val="20"/>
      <w:szCs w:val="21"/>
    </w:rPr>
  </w:style>
  <w:style w:type="paragraph" w:customStyle="1" w:styleId="17">
    <w:name w:val="Plain Text"/>
    <w:basedOn w:val="1"/>
    <w:qFormat/>
    <w:uiPriority w:val="0"/>
    <w:rPr>
      <w:rFonts w:ascii="宋体" w:hAnsi="Courier New" w:cs="Courier New"/>
      <w:kern w:val="2"/>
      <w:sz w:val="21"/>
      <w:szCs w:val="21"/>
    </w:rPr>
  </w:style>
  <w:style w:type="paragraph" w:customStyle="1" w:styleId="18">
    <w:name w:val="正文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Default"/>
    <w:qFormat/>
    <w:uiPriority w:val="0"/>
    <w:pPr>
      <w:widowControl w:val="0"/>
      <w:autoSpaceDE w:val="0"/>
      <w:autoSpaceDN w:val="0"/>
      <w:adjustRightInd w:val="0"/>
    </w:pPr>
    <w:rPr>
      <w:rFonts w:ascii="宋体" w:hAnsi="@文星楷体" w:eastAsia="宋体" w:cs="宋体"/>
      <w:color w:val="000000"/>
      <w:sz w:val="24"/>
      <w:szCs w:val="24"/>
      <w:lang w:val="en-US" w:eastAsia="zh-CN" w:bidi="ar-SA"/>
    </w:rPr>
  </w:style>
  <w:style w:type="character" w:customStyle="1" w:styleId="20">
    <w:name w:val="批注框文本 Char"/>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Zhuozhengsoft</Company>
  <Pages>9</Pages>
  <Words>1517</Words>
  <Characters>1563</Characters>
  <Lines>156</Lines>
  <Paragraphs>133</Paragraphs>
  <TotalTime>0</TotalTime>
  <ScaleCrop>false</ScaleCrop>
  <LinksUpToDate>false</LinksUpToDate>
  <CharactersWithSpaces>2947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2021-09-03T10:25:00Z</dcterms:created>
  <dc:creator>somebody</dc:creator>
  <cp:lastModifiedBy>树先生</cp:lastModifiedBy>
  <dcterms:modified xsi:type="dcterms:W3CDTF">2021-09-09T07:27:33Z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AA9580C2CA3345C4A7AD2AA778ED6007</vt:lpwstr>
  </property>
</Properties>
</file>