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附件1</w:t>
      </w:r>
    </w:p>
    <w:p>
      <w:pPr>
        <w:spacing w:line="360" w:lineRule="auto"/>
        <w:jc w:val="center"/>
        <w:rPr>
          <w:rFonts w:ascii="仿宋_GB2312" w:hAnsi="华文中宋" w:eastAsia="仿宋_GB2312"/>
          <w:b/>
          <w:color w:val="000000" w:themeColor="text1"/>
          <w:sz w:val="36"/>
          <w:szCs w:val="32"/>
          <w14:textFill>
            <w14:solidFill>
              <w14:schemeClr w14:val="tx1"/>
            </w14:solidFill>
          </w14:textFill>
        </w:rPr>
      </w:pPr>
      <w:r>
        <w:rPr>
          <w:rFonts w:hint="eastAsia" w:ascii="方正小标宋简体" w:hAnsi="华文宋体" w:eastAsia="方正小标宋简体"/>
          <w:b/>
          <w:color w:val="000000" w:themeColor="text1"/>
          <w:sz w:val="44"/>
          <w:szCs w:val="44"/>
          <w14:textFill>
            <w14:solidFill>
              <w14:schemeClr w14:val="tx1"/>
            </w14:solidFill>
          </w14:textFill>
        </w:rPr>
        <w:t>揭榜挂帅科研项目</w:t>
      </w:r>
    </w:p>
    <w:p>
      <w:pPr>
        <w:spacing w:line="360" w:lineRule="auto"/>
        <w:jc w:val="center"/>
        <w:rPr>
          <w:rFonts w:ascii="仿宋_GB2312" w:hAnsi="黑体" w:eastAsia="仿宋_GB2312"/>
          <w:b/>
          <w:color w:val="000000" w:themeColor="text1"/>
          <w:sz w:val="32"/>
          <w:szCs w:val="32"/>
          <w14:textFill>
            <w14:solidFill>
              <w14:schemeClr w14:val="tx1"/>
            </w14:solidFill>
          </w14:textFill>
        </w:rPr>
      </w:pPr>
      <w:r>
        <w:rPr>
          <w:rFonts w:hint="eastAsia" w:ascii="仿宋_GB2312" w:hAnsi="华文中宋" w:eastAsia="仿宋_GB2312"/>
          <w:b/>
          <w:color w:val="000000" w:themeColor="text1"/>
          <w:sz w:val="32"/>
          <w:szCs w:val="32"/>
          <w14:textFill>
            <w14:solidFill>
              <w14:schemeClr w14:val="tx1"/>
            </w14:solidFill>
          </w14:textFill>
        </w:rPr>
        <w:t>项目1  氯化钾中除胺工艺技术</w:t>
      </w:r>
    </w:p>
    <w:p>
      <w:pPr>
        <w:spacing w:line="360" w:lineRule="auto"/>
        <w:ind w:firstLine="643" w:firstLineChars="200"/>
        <w:rPr>
          <w:rFonts w:ascii="仿宋_GB2312" w:hAnsi="楷体" w:eastAsia="仿宋_GB2312"/>
          <w:b/>
          <w:color w:val="000000" w:themeColor="text1"/>
          <w:sz w:val="32"/>
          <w:szCs w:val="32"/>
          <w14:textFill>
            <w14:solidFill>
              <w14:schemeClr w14:val="tx1"/>
            </w14:solidFill>
          </w14:textFill>
        </w:rPr>
      </w:pPr>
      <w:r>
        <w:rPr>
          <w:rFonts w:hint="eastAsia" w:ascii="仿宋_GB2312" w:hAnsi="楷体" w:eastAsia="仿宋_GB2312"/>
          <w:b/>
          <w:color w:val="000000" w:themeColor="text1"/>
          <w:sz w:val="32"/>
          <w:szCs w:val="32"/>
          <w14:textFill>
            <w14:solidFill>
              <w14:schemeClr w14:val="tx1"/>
            </w14:solidFill>
          </w14:textFill>
        </w:rPr>
        <w:t>一、项目立项背景</w:t>
      </w:r>
    </w:p>
    <w:p>
      <w:pPr>
        <w:spacing w:line="360" w:lineRule="auto"/>
        <w:ind w:firstLine="560" w:firstLineChars="200"/>
        <w:rPr>
          <w:rFonts w:ascii="仿宋_GB2312" w:hAnsi="仿宋" w:eastAsia="仿宋_GB2312"/>
          <w:color w:val="000000" w:themeColor="text1"/>
          <w:spacing w:val="-20"/>
          <w:sz w:val="32"/>
          <w:szCs w:val="32"/>
          <w14:textFill>
            <w14:solidFill>
              <w14:schemeClr w14:val="tx1"/>
            </w14:solidFill>
          </w14:textFill>
        </w:rPr>
      </w:pPr>
      <w:r>
        <w:rPr>
          <w:rFonts w:hint="eastAsia" w:ascii="仿宋_GB2312" w:hAnsi="仿宋" w:eastAsia="仿宋_GB2312"/>
          <w:color w:val="000000" w:themeColor="text1"/>
          <w:spacing w:val="-20"/>
          <w:sz w:val="32"/>
          <w:szCs w:val="32"/>
          <w14:textFill>
            <w14:solidFill>
              <w14:schemeClr w14:val="tx1"/>
            </w14:solidFill>
          </w14:textFill>
        </w:rPr>
        <w:t>青海盐湖工业股份有限公司经过六十多年的发展历程中，通过持续不断的技术进步，使钾肥生产工艺技术不断完善、产能不断提升，目前已形成5</w:t>
      </w:r>
      <w:r>
        <w:rPr>
          <w:rFonts w:ascii="仿宋_GB2312" w:hAnsi="仿宋" w:eastAsia="仿宋_GB2312"/>
          <w:color w:val="000000" w:themeColor="text1"/>
          <w:spacing w:val="-20"/>
          <w:sz w:val="32"/>
          <w:szCs w:val="32"/>
          <w14:textFill>
            <w14:solidFill>
              <w14:schemeClr w14:val="tx1"/>
            </w14:solidFill>
          </w14:textFill>
        </w:rPr>
        <w:t>00万吨钾肥产能</w:t>
      </w:r>
      <w:r>
        <w:rPr>
          <w:rFonts w:hint="eastAsia" w:ascii="仿宋_GB2312" w:hAnsi="仿宋" w:eastAsia="仿宋_GB2312"/>
          <w:color w:val="000000" w:themeColor="text1"/>
          <w:spacing w:val="-20"/>
          <w:sz w:val="32"/>
          <w:szCs w:val="32"/>
          <w14:textFill>
            <w14:solidFill>
              <w14:schemeClr w14:val="tx1"/>
            </w14:solidFill>
          </w14:textFill>
        </w:rPr>
        <w:t>，形成了以“反浮选-冷结晶”及“冷结晶-正浮选”为主的钾肥生产技术体系，钾肥生产技术处于世界领先水平。但钾盐产品品种单一，需重点围绕钾盐高附加值产品，加强技术研发，布局高附加值产品的全产业链。</w:t>
      </w:r>
    </w:p>
    <w:p>
      <w:pPr>
        <w:spacing w:line="360" w:lineRule="auto"/>
        <w:ind w:firstLine="560" w:firstLineChars="200"/>
        <w:rPr>
          <w:rFonts w:ascii="仿宋_GB2312" w:hAnsi="仿宋" w:eastAsia="仿宋_GB2312"/>
          <w:color w:val="000000" w:themeColor="text1"/>
          <w:spacing w:val="-20"/>
          <w:sz w:val="32"/>
          <w:szCs w:val="32"/>
          <w14:textFill>
            <w14:solidFill>
              <w14:schemeClr w14:val="tx1"/>
            </w14:solidFill>
          </w14:textFill>
        </w:rPr>
      </w:pPr>
      <w:r>
        <w:rPr>
          <w:rFonts w:hint="eastAsia" w:ascii="仿宋_GB2312" w:hAnsi="仿宋" w:eastAsia="仿宋_GB2312"/>
          <w:color w:val="000000" w:themeColor="text1"/>
          <w:spacing w:val="-20"/>
          <w:sz w:val="32"/>
          <w:szCs w:val="32"/>
          <w14:textFill>
            <w14:solidFill>
              <w14:schemeClr w14:val="tx1"/>
            </w14:solidFill>
          </w14:textFill>
        </w:rPr>
        <w:t>青海盐湖工业股份有限公司浮选工艺中每年消耗大量富含胺类的十八胺、十二烷基吗啉等药剂。在多年的生产过程中胺类物质不断扩散、累积，造成卤水系统及钾肥产品胺含量较高。</w:t>
      </w:r>
    </w:p>
    <w:p>
      <w:pPr>
        <w:spacing w:line="360" w:lineRule="auto"/>
        <w:jc w:val="center"/>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t>表1  部分钾肥企业的化验数据</w:t>
      </w:r>
    </w:p>
    <w:tbl>
      <w:tblPr>
        <w:tblStyle w:val="7"/>
        <w:tblW w:w="8522" w:type="dxa"/>
        <w:tblInd w:w="0" w:type="dxa"/>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555"/>
        <w:gridCol w:w="1250"/>
        <w:gridCol w:w="1087"/>
        <w:gridCol w:w="1213"/>
        <w:gridCol w:w="1212"/>
        <w:gridCol w:w="1125"/>
        <w:gridCol w:w="1080"/>
      </w:tblGrid>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1555" w:type="dxa"/>
            <w:tcBorders>
              <w:bottom w:val="single" w:color="auto" w:sz="4" w:space="0"/>
            </w:tcBorders>
          </w:tcPr>
          <w:p>
            <w:pPr>
              <w:spacing w:line="360" w:lineRule="auto"/>
              <w:jc w:val="center"/>
              <w:rPr>
                <w:rFonts w:ascii="仿宋_GB2312" w:hAnsi="仿宋" w:eastAsia="仿宋_GB2312" w:cs="Times New Roman"/>
                <w:color w:val="000000" w:themeColor="text1"/>
                <w:kern w:val="0"/>
                <w:szCs w:val="21"/>
                <w14:textFill>
                  <w14:solidFill>
                    <w14:schemeClr w14:val="tx1"/>
                  </w14:solidFill>
                </w14:textFill>
              </w:rPr>
            </w:pPr>
            <w:r>
              <w:rPr>
                <w:rFonts w:hint="eastAsia" w:ascii="仿宋_GB2312" w:hAnsi="仿宋" w:eastAsia="仿宋_GB2312" w:cs="Times New Roman"/>
                <w:color w:val="000000" w:themeColor="text1"/>
                <w:kern w:val="0"/>
                <w:szCs w:val="21"/>
                <w14:textFill>
                  <w14:solidFill>
                    <w14:schemeClr w14:val="tx1"/>
                  </w14:solidFill>
                </w14:textFill>
              </w:rPr>
              <w:t>名称</w:t>
            </w:r>
          </w:p>
        </w:tc>
        <w:tc>
          <w:tcPr>
            <w:tcW w:w="1250" w:type="dxa"/>
            <w:tcBorders>
              <w:bottom w:val="single" w:color="auto" w:sz="4" w:space="0"/>
            </w:tcBorders>
          </w:tcPr>
          <w:p>
            <w:pPr>
              <w:spacing w:line="360" w:lineRule="auto"/>
              <w:jc w:val="center"/>
              <w:rPr>
                <w:rFonts w:ascii="仿宋_GB2312" w:hAnsi="仿宋" w:eastAsia="仿宋_GB2312" w:cs="Times New Roman"/>
                <w:color w:val="000000" w:themeColor="text1"/>
                <w:kern w:val="0"/>
                <w:szCs w:val="21"/>
                <w14:textFill>
                  <w14:solidFill>
                    <w14:schemeClr w14:val="tx1"/>
                  </w14:solidFill>
                </w14:textFill>
              </w:rPr>
            </w:pPr>
            <w:r>
              <w:rPr>
                <w:rFonts w:hint="eastAsia" w:ascii="仿宋_GB2312" w:hAnsi="仿宋" w:eastAsia="仿宋_GB2312" w:cs="Times New Roman"/>
                <w:color w:val="000000" w:themeColor="text1"/>
                <w:kern w:val="0"/>
                <w:szCs w:val="21"/>
                <w14:textFill>
                  <w14:solidFill>
                    <w14:schemeClr w14:val="tx1"/>
                  </w14:solidFill>
                </w14:textFill>
              </w:rPr>
              <w:t>KCl%</w:t>
            </w:r>
          </w:p>
        </w:tc>
        <w:tc>
          <w:tcPr>
            <w:tcW w:w="1087" w:type="dxa"/>
            <w:tcBorders>
              <w:bottom w:val="single" w:color="auto" w:sz="4" w:space="0"/>
            </w:tcBorders>
          </w:tcPr>
          <w:p>
            <w:pPr>
              <w:spacing w:line="360" w:lineRule="auto"/>
              <w:jc w:val="center"/>
              <w:rPr>
                <w:rFonts w:ascii="仿宋_GB2312" w:hAnsi="仿宋" w:eastAsia="仿宋_GB2312" w:cs="Times New Roman"/>
                <w:color w:val="000000" w:themeColor="text1"/>
                <w:kern w:val="0"/>
                <w:szCs w:val="21"/>
                <w14:textFill>
                  <w14:solidFill>
                    <w14:schemeClr w14:val="tx1"/>
                  </w14:solidFill>
                </w14:textFill>
              </w:rPr>
            </w:pPr>
            <w:r>
              <w:rPr>
                <w:rFonts w:hint="eastAsia" w:ascii="仿宋_GB2312" w:hAnsi="仿宋" w:eastAsia="仿宋_GB2312" w:cs="Times New Roman"/>
                <w:color w:val="000000" w:themeColor="text1"/>
                <w:kern w:val="0"/>
                <w:szCs w:val="21"/>
                <w14:textFill>
                  <w14:solidFill>
                    <w14:schemeClr w14:val="tx1"/>
                  </w14:solidFill>
                </w14:textFill>
              </w:rPr>
              <w:t>NaCl%</w:t>
            </w:r>
          </w:p>
        </w:tc>
        <w:tc>
          <w:tcPr>
            <w:tcW w:w="1213" w:type="dxa"/>
            <w:tcBorders>
              <w:bottom w:val="single" w:color="auto" w:sz="4" w:space="0"/>
            </w:tcBorders>
          </w:tcPr>
          <w:p>
            <w:pPr>
              <w:spacing w:line="360" w:lineRule="auto"/>
              <w:jc w:val="center"/>
              <w:rPr>
                <w:rFonts w:ascii="仿宋_GB2312" w:hAnsi="仿宋" w:eastAsia="仿宋_GB2312" w:cs="Times New Roman"/>
                <w:color w:val="000000" w:themeColor="text1"/>
                <w:kern w:val="0"/>
                <w:szCs w:val="21"/>
                <w14:textFill>
                  <w14:solidFill>
                    <w14:schemeClr w14:val="tx1"/>
                  </w14:solidFill>
                </w14:textFill>
              </w:rPr>
            </w:pPr>
            <w:r>
              <w:rPr>
                <w:rFonts w:hint="eastAsia" w:ascii="仿宋_GB2312" w:hAnsi="仿宋" w:eastAsia="仿宋_GB2312" w:cs="Times New Roman"/>
                <w:color w:val="000000" w:themeColor="text1"/>
                <w:kern w:val="0"/>
                <w:szCs w:val="21"/>
                <w14:textFill>
                  <w14:solidFill>
                    <w14:schemeClr w14:val="tx1"/>
                  </w14:solidFill>
                </w14:textFill>
              </w:rPr>
              <w:t>Mg+Ca%</w:t>
            </w:r>
          </w:p>
        </w:tc>
        <w:tc>
          <w:tcPr>
            <w:tcW w:w="1212" w:type="dxa"/>
            <w:tcBorders>
              <w:bottom w:val="single" w:color="auto" w:sz="4" w:space="0"/>
            </w:tcBorders>
          </w:tcPr>
          <w:p>
            <w:pPr>
              <w:spacing w:line="360" w:lineRule="auto"/>
              <w:jc w:val="center"/>
              <w:rPr>
                <w:rFonts w:ascii="仿宋_GB2312" w:hAnsi="仿宋" w:eastAsia="仿宋_GB2312" w:cs="Times New Roman"/>
                <w:color w:val="000000" w:themeColor="text1"/>
                <w:kern w:val="0"/>
                <w:szCs w:val="21"/>
                <w14:textFill>
                  <w14:solidFill>
                    <w14:schemeClr w14:val="tx1"/>
                  </w14:solidFill>
                </w14:textFill>
              </w:rPr>
            </w:pPr>
            <w:r>
              <w:rPr>
                <w:rFonts w:hint="eastAsia" w:ascii="仿宋_GB2312" w:hAnsi="仿宋" w:eastAsia="仿宋_GB2312" w:cs="Times New Roman"/>
                <w:color w:val="000000" w:themeColor="text1"/>
                <w:kern w:val="0"/>
                <w:szCs w:val="21"/>
                <w14:textFill>
                  <w14:solidFill>
                    <w14:schemeClr w14:val="tx1"/>
                  </w14:solidFill>
                </w14:textFill>
              </w:rPr>
              <w:t>H</w:t>
            </w:r>
            <w:r>
              <w:rPr>
                <w:rFonts w:hint="eastAsia" w:ascii="仿宋_GB2312" w:hAnsi="仿宋" w:eastAsia="仿宋_GB2312" w:cs="Times New Roman"/>
                <w:color w:val="000000" w:themeColor="text1"/>
                <w:kern w:val="0"/>
                <w:szCs w:val="21"/>
                <w:vertAlign w:val="subscript"/>
                <w14:textFill>
                  <w14:solidFill>
                    <w14:schemeClr w14:val="tx1"/>
                  </w14:solidFill>
                </w14:textFill>
              </w:rPr>
              <w:t>2</w:t>
            </w:r>
            <w:r>
              <w:rPr>
                <w:rFonts w:hint="eastAsia" w:ascii="仿宋_GB2312" w:hAnsi="仿宋" w:eastAsia="仿宋_GB2312" w:cs="Times New Roman"/>
                <w:color w:val="000000" w:themeColor="text1"/>
                <w:kern w:val="0"/>
                <w:szCs w:val="21"/>
                <w14:textFill>
                  <w14:solidFill>
                    <w14:schemeClr w14:val="tx1"/>
                  </w14:solidFill>
                </w14:textFill>
              </w:rPr>
              <w:t>O%</w:t>
            </w:r>
          </w:p>
        </w:tc>
        <w:tc>
          <w:tcPr>
            <w:tcW w:w="1125" w:type="dxa"/>
            <w:tcBorders>
              <w:bottom w:val="single" w:color="auto" w:sz="4" w:space="0"/>
            </w:tcBorders>
          </w:tcPr>
          <w:p>
            <w:pPr>
              <w:spacing w:line="360" w:lineRule="auto"/>
              <w:jc w:val="center"/>
              <w:rPr>
                <w:rFonts w:ascii="仿宋_GB2312" w:hAnsi="仿宋" w:eastAsia="仿宋_GB2312" w:cs="Times New Roman"/>
                <w:color w:val="000000" w:themeColor="text1"/>
                <w:kern w:val="0"/>
                <w:szCs w:val="21"/>
                <w14:textFill>
                  <w14:solidFill>
                    <w14:schemeClr w14:val="tx1"/>
                  </w14:solidFill>
                </w14:textFill>
              </w:rPr>
            </w:pPr>
            <w:r>
              <w:rPr>
                <w:rFonts w:hint="eastAsia" w:ascii="仿宋_GB2312" w:hAnsi="仿宋" w:eastAsia="仿宋_GB2312" w:cs="Times New Roman"/>
                <w:color w:val="000000" w:themeColor="text1"/>
                <w:kern w:val="0"/>
                <w:szCs w:val="21"/>
                <w14:textFill>
                  <w14:solidFill>
                    <w14:schemeClr w14:val="tx1"/>
                  </w14:solidFill>
                </w14:textFill>
              </w:rPr>
              <w:t>NH</w:t>
            </w:r>
            <w:r>
              <w:rPr>
                <w:rFonts w:hint="eastAsia" w:ascii="仿宋_GB2312" w:hAnsi="仿宋" w:eastAsia="仿宋_GB2312" w:cs="Times New Roman"/>
                <w:color w:val="000000" w:themeColor="text1"/>
                <w:kern w:val="0"/>
                <w:szCs w:val="21"/>
                <w:vertAlign w:val="subscript"/>
                <w14:textFill>
                  <w14:solidFill>
                    <w14:schemeClr w14:val="tx1"/>
                  </w14:solidFill>
                </w14:textFill>
              </w:rPr>
              <w:t>4</w:t>
            </w:r>
            <w:r>
              <w:rPr>
                <w:rFonts w:hint="eastAsia" w:ascii="仿宋_GB2312" w:hAnsi="仿宋" w:eastAsia="仿宋_GB2312" w:cs="Times New Roman"/>
                <w:color w:val="000000" w:themeColor="text1"/>
                <w:kern w:val="0"/>
                <w:szCs w:val="21"/>
                <w14:textFill>
                  <w14:solidFill>
                    <w14:schemeClr w14:val="tx1"/>
                  </w14:solidFill>
                </w14:textFill>
              </w:rPr>
              <w:t>%</w:t>
            </w:r>
          </w:p>
        </w:tc>
        <w:tc>
          <w:tcPr>
            <w:tcW w:w="1080" w:type="dxa"/>
            <w:tcBorders>
              <w:bottom w:val="single" w:color="auto" w:sz="4" w:space="0"/>
            </w:tcBorders>
          </w:tcPr>
          <w:p>
            <w:pPr>
              <w:spacing w:line="360" w:lineRule="auto"/>
              <w:jc w:val="center"/>
              <w:rPr>
                <w:rFonts w:ascii="仿宋_GB2312" w:hAnsi="仿宋" w:eastAsia="仿宋_GB2312" w:cs="Times New Roman"/>
                <w:color w:val="000000" w:themeColor="text1"/>
                <w:kern w:val="0"/>
                <w:szCs w:val="21"/>
                <w14:textFill>
                  <w14:solidFill>
                    <w14:schemeClr w14:val="tx1"/>
                  </w14:solidFill>
                </w14:textFill>
              </w:rPr>
            </w:pPr>
            <w:r>
              <w:rPr>
                <w:rFonts w:hint="eastAsia" w:ascii="仿宋_GB2312" w:hAnsi="仿宋" w:eastAsia="仿宋_GB2312" w:cs="Times New Roman"/>
                <w:color w:val="000000" w:themeColor="text1"/>
                <w:kern w:val="0"/>
                <w:szCs w:val="21"/>
                <w14:textFill>
                  <w14:solidFill>
                    <w14:schemeClr w14:val="tx1"/>
                  </w14:solidFill>
                </w14:textFill>
              </w:rPr>
              <w:t>Fe%</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1555" w:type="dxa"/>
            <w:tcBorders>
              <w:top w:val="single" w:color="auto" w:sz="4" w:space="0"/>
              <w:tl2br w:val="nil"/>
              <w:tr2bl w:val="nil"/>
            </w:tcBorders>
          </w:tcPr>
          <w:p>
            <w:pPr>
              <w:spacing w:line="360" w:lineRule="auto"/>
              <w:jc w:val="center"/>
              <w:rPr>
                <w:rFonts w:ascii="仿宋_GB2312" w:hAnsi="仿宋" w:eastAsia="仿宋_GB2312" w:cs="Times New Roman"/>
                <w:color w:val="000000" w:themeColor="text1"/>
                <w:kern w:val="0"/>
                <w:szCs w:val="21"/>
                <w14:textFill>
                  <w14:solidFill>
                    <w14:schemeClr w14:val="tx1"/>
                  </w14:solidFill>
                </w14:textFill>
              </w:rPr>
            </w:pPr>
            <w:r>
              <w:rPr>
                <w:rFonts w:hint="eastAsia" w:ascii="仿宋_GB2312" w:hAnsi="仿宋" w:eastAsia="仿宋_GB2312" w:cs="Times New Roman"/>
                <w:color w:val="000000" w:themeColor="text1"/>
                <w:kern w:val="0"/>
                <w:szCs w:val="21"/>
                <w14:textFill>
                  <w14:solidFill>
                    <w14:schemeClr w14:val="tx1"/>
                  </w14:solidFill>
                </w14:textFill>
              </w:rPr>
              <w:t>加拿大</w:t>
            </w:r>
          </w:p>
        </w:tc>
        <w:tc>
          <w:tcPr>
            <w:tcW w:w="1250" w:type="dxa"/>
            <w:tcBorders>
              <w:top w:val="single" w:color="auto" w:sz="4" w:space="0"/>
              <w:tl2br w:val="nil"/>
              <w:tr2bl w:val="nil"/>
            </w:tcBorders>
          </w:tcPr>
          <w:p>
            <w:pPr>
              <w:spacing w:line="360" w:lineRule="auto"/>
              <w:jc w:val="center"/>
              <w:rPr>
                <w:rFonts w:ascii="仿宋_GB2312" w:hAnsi="仿宋" w:eastAsia="仿宋_GB2312" w:cs="Times New Roman"/>
                <w:color w:val="000000" w:themeColor="text1"/>
                <w:kern w:val="0"/>
                <w:szCs w:val="21"/>
                <w14:textFill>
                  <w14:solidFill>
                    <w14:schemeClr w14:val="tx1"/>
                  </w14:solidFill>
                </w14:textFill>
              </w:rPr>
            </w:pPr>
            <w:r>
              <w:rPr>
                <w:rFonts w:hint="eastAsia" w:ascii="仿宋_GB2312" w:hAnsi="仿宋" w:eastAsia="仿宋_GB2312" w:cs="Times New Roman"/>
                <w:color w:val="000000" w:themeColor="text1"/>
                <w:kern w:val="0"/>
                <w:szCs w:val="21"/>
                <w14:textFill>
                  <w14:solidFill>
                    <w14:schemeClr w14:val="tx1"/>
                  </w14:solidFill>
                </w14:textFill>
              </w:rPr>
              <w:t>98.3</w:t>
            </w:r>
          </w:p>
        </w:tc>
        <w:tc>
          <w:tcPr>
            <w:tcW w:w="1087" w:type="dxa"/>
            <w:tcBorders>
              <w:top w:val="single" w:color="auto" w:sz="4" w:space="0"/>
              <w:tl2br w:val="nil"/>
              <w:tr2bl w:val="nil"/>
            </w:tcBorders>
          </w:tcPr>
          <w:p>
            <w:pPr>
              <w:spacing w:line="360" w:lineRule="auto"/>
              <w:jc w:val="center"/>
              <w:rPr>
                <w:rFonts w:ascii="仿宋_GB2312" w:hAnsi="仿宋" w:eastAsia="仿宋_GB2312" w:cs="Times New Roman"/>
                <w:color w:val="000000" w:themeColor="text1"/>
                <w:kern w:val="0"/>
                <w:szCs w:val="21"/>
                <w14:textFill>
                  <w14:solidFill>
                    <w14:schemeClr w14:val="tx1"/>
                  </w14:solidFill>
                </w14:textFill>
              </w:rPr>
            </w:pPr>
            <w:r>
              <w:rPr>
                <w:rFonts w:hint="eastAsia" w:ascii="仿宋_GB2312" w:hAnsi="仿宋" w:eastAsia="仿宋_GB2312" w:cs="Times New Roman"/>
                <w:color w:val="000000" w:themeColor="text1"/>
                <w:kern w:val="0"/>
                <w:szCs w:val="21"/>
                <w14:textFill>
                  <w14:solidFill>
                    <w14:schemeClr w14:val="tx1"/>
                  </w14:solidFill>
                </w14:textFill>
              </w:rPr>
              <w:t>0.9</w:t>
            </w:r>
          </w:p>
        </w:tc>
        <w:tc>
          <w:tcPr>
            <w:tcW w:w="1213" w:type="dxa"/>
            <w:tcBorders>
              <w:top w:val="single" w:color="auto" w:sz="4" w:space="0"/>
              <w:tl2br w:val="nil"/>
              <w:tr2bl w:val="nil"/>
            </w:tcBorders>
          </w:tcPr>
          <w:p>
            <w:pPr>
              <w:spacing w:line="360" w:lineRule="auto"/>
              <w:jc w:val="center"/>
              <w:rPr>
                <w:rFonts w:ascii="仿宋_GB2312" w:hAnsi="仿宋" w:eastAsia="仿宋_GB2312" w:cs="Times New Roman"/>
                <w:color w:val="000000" w:themeColor="text1"/>
                <w:kern w:val="0"/>
                <w:szCs w:val="21"/>
                <w14:textFill>
                  <w14:solidFill>
                    <w14:schemeClr w14:val="tx1"/>
                  </w14:solidFill>
                </w14:textFill>
              </w:rPr>
            </w:pPr>
            <w:r>
              <w:rPr>
                <w:rFonts w:hint="eastAsia" w:ascii="仿宋_GB2312" w:hAnsi="仿宋" w:eastAsia="仿宋_GB2312" w:cs="Times New Roman"/>
                <w:color w:val="000000" w:themeColor="text1"/>
                <w:kern w:val="0"/>
                <w:szCs w:val="21"/>
                <w14:textFill>
                  <w14:solidFill>
                    <w14:schemeClr w14:val="tx1"/>
                  </w14:solidFill>
                </w14:textFill>
              </w:rPr>
              <w:t>0.04</w:t>
            </w:r>
          </w:p>
        </w:tc>
        <w:tc>
          <w:tcPr>
            <w:tcW w:w="1212" w:type="dxa"/>
            <w:tcBorders>
              <w:top w:val="single" w:color="auto" w:sz="4" w:space="0"/>
              <w:tl2br w:val="nil"/>
              <w:tr2bl w:val="nil"/>
            </w:tcBorders>
          </w:tcPr>
          <w:p>
            <w:pPr>
              <w:spacing w:line="360" w:lineRule="auto"/>
              <w:jc w:val="center"/>
              <w:rPr>
                <w:rFonts w:ascii="仿宋_GB2312" w:hAnsi="仿宋" w:eastAsia="仿宋_GB2312" w:cs="Times New Roman"/>
                <w:color w:val="000000" w:themeColor="text1"/>
                <w:kern w:val="0"/>
                <w:szCs w:val="21"/>
                <w14:textFill>
                  <w14:solidFill>
                    <w14:schemeClr w14:val="tx1"/>
                  </w14:solidFill>
                </w14:textFill>
              </w:rPr>
            </w:pPr>
            <w:r>
              <w:rPr>
                <w:rFonts w:hint="eastAsia" w:ascii="仿宋_GB2312" w:hAnsi="仿宋" w:eastAsia="仿宋_GB2312" w:cs="Times New Roman"/>
                <w:color w:val="000000" w:themeColor="text1"/>
                <w:kern w:val="0"/>
                <w:szCs w:val="21"/>
                <w14:textFill>
                  <w14:solidFill>
                    <w14:schemeClr w14:val="tx1"/>
                  </w14:solidFill>
                </w14:textFill>
              </w:rPr>
              <w:t>0.2</w:t>
            </w:r>
          </w:p>
        </w:tc>
        <w:tc>
          <w:tcPr>
            <w:tcW w:w="1125" w:type="dxa"/>
            <w:tcBorders>
              <w:top w:val="single" w:color="auto" w:sz="4" w:space="0"/>
              <w:tl2br w:val="nil"/>
              <w:tr2bl w:val="nil"/>
            </w:tcBorders>
          </w:tcPr>
          <w:p>
            <w:pPr>
              <w:spacing w:line="360" w:lineRule="auto"/>
              <w:jc w:val="center"/>
              <w:rPr>
                <w:rFonts w:ascii="仿宋_GB2312" w:hAnsi="仿宋" w:eastAsia="仿宋_GB2312" w:cs="Times New Roman"/>
                <w:color w:val="000000" w:themeColor="text1"/>
                <w:kern w:val="0"/>
                <w:szCs w:val="21"/>
                <w14:textFill>
                  <w14:solidFill>
                    <w14:schemeClr w14:val="tx1"/>
                  </w14:solidFill>
                </w14:textFill>
              </w:rPr>
            </w:pPr>
            <w:r>
              <w:rPr>
                <w:rFonts w:hint="eastAsia" w:ascii="仿宋_GB2312" w:hAnsi="仿宋" w:eastAsia="仿宋_GB2312" w:cs="Times New Roman"/>
                <w:color w:val="000000" w:themeColor="text1"/>
                <w:kern w:val="0"/>
                <w:szCs w:val="21"/>
                <w14:textFill>
                  <w14:solidFill>
                    <w14:schemeClr w14:val="tx1"/>
                  </w14:solidFill>
                </w14:textFill>
              </w:rPr>
              <w:t>0.01</w:t>
            </w:r>
          </w:p>
        </w:tc>
        <w:tc>
          <w:tcPr>
            <w:tcW w:w="1080" w:type="dxa"/>
            <w:tcBorders>
              <w:top w:val="single" w:color="auto" w:sz="4" w:space="0"/>
              <w:tl2br w:val="nil"/>
              <w:tr2bl w:val="nil"/>
            </w:tcBorders>
          </w:tcPr>
          <w:p>
            <w:pPr>
              <w:spacing w:line="360" w:lineRule="auto"/>
              <w:jc w:val="center"/>
              <w:rPr>
                <w:rFonts w:ascii="仿宋_GB2312" w:hAnsi="仿宋" w:eastAsia="仿宋_GB2312" w:cs="Times New Roman"/>
                <w:color w:val="000000" w:themeColor="text1"/>
                <w:kern w:val="0"/>
                <w:szCs w:val="21"/>
                <w14:textFill>
                  <w14:solidFill>
                    <w14:schemeClr w14:val="tx1"/>
                  </w14:solidFill>
                </w14:textFill>
              </w:rPr>
            </w:pPr>
            <w:r>
              <w:rPr>
                <w:rFonts w:hint="eastAsia" w:ascii="仿宋_GB2312" w:hAnsi="仿宋" w:eastAsia="仿宋_GB2312" w:cs="Times New Roman"/>
                <w:color w:val="000000" w:themeColor="text1"/>
                <w:kern w:val="0"/>
                <w:szCs w:val="21"/>
                <w14:textFill>
                  <w14:solidFill>
                    <w14:schemeClr w14:val="tx1"/>
                  </w14:solidFill>
                </w14:textFill>
              </w:rPr>
              <w:t>2ppm</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1555" w:type="dxa"/>
            <w:tcBorders>
              <w:tl2br w:val="nil"/>
              <w:tr2bl w:val="nil"/>
            </w:tcBorders>
          </w:tcPr>
          <w:p>
            <w:pPr>
              <w:spacing w:line="360" w:lineRule="auto"/>
              <w:jc w:val="center"/>
              <w:rPr>
                <w:rFonts w:ascii="仿宋_GB2312" w:hAnsi="仿宋" w:eastAsia="仿宋_GB2312" w:cs="Times New Roman"/>
                <w:color w:val="000000" w:themeColor="text1"/>
                <w:kern w:val="0"/>
                <w:szCs w:val="21"/>
                <w14:textFill>
                  <w14:solidFill>
                    <w14:schemeClr w14:val="tx1"/>
                  </w14:solidFill>
                </w14:textFill>
              </w:rPr>
            </w:pPr>
            <w:r>
              <w:rPr>
                <w:rFonts w:hint="eastAsia" w:ascii="仿宋_GB2312" w:hAnsi="仿宋" w:eastAsia="仿宋_GB2312" w:cs="Times New Roman"/>
                <w:color w:val="000000" w:themeColor="text1"/>
                <w:kern w:val="0"/>
                <w:szCs w:val="21"/>
                <w14:textFill>
                  <w14:solidFill>
                    <w14:schemeClr w14:val="tx1"/>
                  </w14:solidFill>
                </w14:textFill>
              </w:rPr>
              <w:t>钾肥公司</w:t>
            </w:r>
          </w:p>
        </w:tc>
        <w:tc>
          <w:tcPr>
            <w:tcW w:w="1250" w:type="dxa"/>
            <w:tcBorders>
              <w:tl2br w:val="nil"/>
              <w:tr2bl w:val="nil"/>
            </w:tcBorders>
          </w:tcPr>
          <w:p>
            <w:pPr>
              <w:spacing w:line="360" w:lineRule="auto"/>
              <w:jc w:val="center"/>
              <w:rPr>
                <w:rFonts w:ascii="仿宋_GB2312" w:hAnsi="仿宋" w:eastAsia="仿宋_GB2312" w:cs="Times New Roman"/>
                <w:color w:val="000000" w:themeColor="text1"/>
                <w:kern w:val="0"/>
                <w:szCs w:val="21"/>
                <w14:textFill>
                  <w14:solidFill>
                    <w14:schemeClr w14:val="tx1"/>
                  </w14:solidFill>
                </w14:textFill>
              </w:rPr>
            </w:pPr>
            <w:r>
              <w:rPr>
                <w:rFonts w:hint="eastAsia" w:ascii="仿宋_GB2312" w:hAnsi="仿宋" w:eastAsia="仿宋_GB2312" w:cs="Times New Roman"/>
                <w:color w:val="000000" w:themeColor="text1"/>
                <w:kern w:val="0"/>
                <w:szCs w:val="21"/>
                <w14:textFill>
                  <w14:solidFill>
                    <w14:schemeClr w14:val="tx1"/>
                  </w14:solidFill>
                </w14:textFill>
              </w:rPr>
              <w:t>97.4</w:t>
            </w:r>
          </w:p>
        </w:tc>
        <w:tc>
          <w:tcPr>
            <w:tcW w:w="1087" w:type="dxa"/>
            <w:tcBorders>
              <w:tl2br w:val="nil"/>
              <w:tr2bl w:val="nil"/>
            </w:tcBorders>
          </w:tcPr>
          <w:p>
            <w:pPr>
              <w:spacing w:line="360" w:lineRule="auto"/>
              <w:jc w:val="center"/>
              <w:rPr>
                <w:rFonts w:ascii="仿宋_GB2312" w:hAnsi="仿宋" w:eastAsia="仿宋_GB2312" w:cs="Times New Roman"/>
                <w:color w:val="000000" w:themeColor="text1"/>
                <w:kern w:val="0"/>
                <w:szCs w:val="21"/>
                <w14:textFill>
                  <w14:solidFill>
                    <w14:schemeClr w14:val="tx1"/>
                  </w14:solidFill>
                </w14:textFill>
              </w:rPr>
            </w:pPr>
            <w:r>
              <w:rPr>
                <w:rFonts w:hint="eastAsia" w:ascii="仿宋_GB2312" w:hAnsi="仿宋" w:eastAsia="仿宋_GB2312" w:cs="Times New Roman"/>
                <w:color w:val="000000" w:themeColor="text1"/>
                <w:kern w:val="0"/>
                <w:szCs w:val="21"/>
                <w14:textFill>
                  <w14:solidFill>
                    <w14:schemeClr w14:val="tx1"/>
                  </w14:solidFill>
                </w14:textFill>
              </w:rPr>
              <w:t>0.6</w:t>
            </w:r>
          </w:p>
        </w:tc>
        <w:tc>
          <w:tcPr>
            <w:tcW w:w="1213" w:type="dxa"/>
            <w:tcBorders>
              <w:tl2br w:val="nil"/>
              <w:tr2bl w:val="nil"/>
            </w:tcBorders>
          </w:tcPr>
          <w:p>
            <w:pPr>
              <w:spacing w:line="360" w:lineRule="auto"/>
              <w:jc w:val="center"/>
              <w:rPr>
                <w:rFonts w:ascii="仿宋_GB2312" w:hAnsi="仿宋" w:eastAsia="仿宋_GB2312" w:cs="Times New Roman"/>
                <w:color w:val="000000" w:themeColor="text1"/>
                <w:kern w:val="0"/>
                <w:szCs w:val="21"/>
                <w14:textFill>
                  <w14:solidFill>
                    <w14:schemeClr w14:val="tx1"/>
                  </w14:solidFill>
                </w14:textFill>
              </w:rPr>
            </w:pPr>
            <w:r>
              <w:rPr>
                <w:rFonts w:hint="eastAsia" w:ascii="仿宋_GB2312" w:hAnsi="仿宋" w:eastAsia="仿宋_GB2312" w:cs="Times New Roman"/>
                <w:color w:val="000000" w:themeColor="text1"/>
                <w:kern w:val="0"/>
                <w:szCs w:val="21"/>
                <w14:textFill>
                  <w14:solidFill>
                    <w14:schemeClr w14:val="tx1"/>
                  </w14:solidFill>
                </w14:textFill>
              </w:rPr>
              <w:t>0.18</w:t>
            </w:r>
          </w:p>
        </w:tc>
        <w:tc>
          <w:tcPr>
            <w:tcW w:w="1212" w:type="dxa"/>
            <w:tcBorders>
              <w:tl2br w:val="nil"/>
              <w:tr2bl w:val="nil"/>
            </w:tcBorders>
          </w:tcPr>
          <w:p>
            <w:pPr>
              <w:spacing w:line="360" w:lineRule="auto"/>
              <w:jc w:val="center"/>
              <w:rPr>
                <w:rFonts w:ascii="仿宋_GB2312" w:hAnsi="仿宋" w:eastAsia="仿宋_GB2312" w:cs="Times New Roman"/>
                <w:color w:val="000000" w:themeColor="text1"/>
                <w:kern w:val="0"/>
                <w:szCs w:val="21"/>
                <w14:textFill>
                  <w14:solidFill>
                    <w14:schemeClr w14:val="tx1"/>
                  </w14:solidFill>
                </w14:textFill>
              </w:rPr>
            </w:pPr>
            <w:r>
              <w:rPr>
                <w:rFonts w:hint="eastAsia" w:ascii="仿宋_GB2312" w:hAnsi="仿宋" w:eastAsia="仿宋_GB2312" w:cs="Times New Roman"/>
                <w:color w:val="000000" w:themeColor="text1"/>
                <w:kern w:val="0"/>
                <w:szCs w:val="21"/>
                <w14:textFill>
                  <w14:solidFill>
                    <w14:schemeClr w14:val="tx1"/>
                  </w14:solidFill>
                </w14:textFill>
              </w:rPr>
              <w:t>2.1</w:t>
            </w:r>
          </w:p>
        </w:tc>
        <w:tc>
          <w:tcPr>
            <w:tcW w:w="1125" w:type="dxa"/>
            <w:tcBorders>
              <w:tl2br w:val="nil"/>
              <w:tr2bl w:val="nil"/>
            </w:tcBorders>
          </w:tcPr>
          <w:p>
            <w:pPr>
              <w:spacing w:line="360" w:lineRule="auto"/>
              <w:jc w:val="center"/>
              <w:rPr>
                <w:rFonts w:ascii="仿宋_GB2312" w:hAnsi="仿宋" w:eastAsia="仿宋_GB2312" w:cs="Times New Roman"/>
                <w:color w:val="000000" w:themeColor="text1"/>
                <w:kern w:val="0"/>
                <w:szCs w:val="21"/>
                <w14:textFill>
                  <w14:solidFill>
                    <w14:schemeClr w14:val="tx1"/>
                  </w14:solidFill>
                </w14:textFill>
              </w:rPr>
            </w:pPr>
            <w:r>
              <w:rPr>
                <w:rFonts w:hint="eastAsia" w:ascii="仿宋_GB2312" w:hAnsi="仿宋" w:eastAsia="仿宋_GB2312" w:cs="Times New Roman"/>
                <w:color w:val="000000" w:themeColor="text1"/>
                <w:kern w:val="0"/>
                <w:szCs w:val="21"/>
                <w14:textFill>
                  <w14:solidFill>
                    <w14:schemeClr w14:val="tx1"/>
                  </w14:solidFill>
                </w14:textFill>
              </w:rPr>
              <w:t>0.04</w:t>
            </w:r>
          </w:p>
        </w:tc>
        <w:tc>
          <w:tcPr>
            <w:tcW w:w="1080" w:type="dxa"/>
            <w:tcBorders>
              <w:tl2br w:val="nil"/>
              <w:tr2bl w:val="nil"/>
            </w:tcBorders>
          </w:tcPr>
          <w:p>
            <w:pPr>
              <w:spacing w:line="360" w:lineRule="auto"/>
              <w:jc w:val="center"/>
              <w:rPr>
                <w:rFonts w:ascii="仿宋_GB2312" w:hAnsi="仿宋" w:eastAsia="仿宋_GB2312" w:cs="Times New Roman"/>
                <w:color w:val="000000" w:themeColor="text1"/>
                <w:kern w:val="0"/>
                <w:szCs w:val="21"/>
                <w14:textFill>
                  <w14:solidFill>
                    <w14:schemeClr w14:val="tx1"/>
                  </w14:solidFill>
                </w14:textFill>
              </w:rPr>
            </w:pPr>
            <w:r>
              <w:rPr>
                <w:rFonts w:hint="eastAsia" w:ascii="仿宋_GB2312" w:hAnsi="仿宋" w:eastAsia="仿宋_GB2312" w:cs="Times New Roman"/>
                <w:color w:val="000000" w:themeColor="text1"/>
                <w:kern w:val="0"/>
                <w:szCs w:val="21"/>
                <w14:textFill>
                  <w14:solidFill>
                    <w14:schemeClr w14:val="tx1"/>
                  </w14:solidFill>
                </w14:textFill>
              </w:rPr>
              <w:t>3ppm</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1555" w:type="dxa"/>
            <w:tcBorders>
              <w:tl2br w:val="nil"/>
              <w:tr2bl w:val="nil"/>
            </w:tcBorders>
          </w:tcPr>
          <w:p>
            <w:pPr>
              <w:spacing w:line="360" w:lineRule="auto"/>
              <w:jc w:val="center"/>
              <w:rPr>
                <w:rFonts w:ascii="仿宋_GB2312" w:hAnsi="仿宋" w:eastAsia="仿宋_GB2312" w:cs="Times New Roman"/>
                <w:color w:val="000000" w:themeColor="text1"/>
                <w:kern w:val="0"/>
                <w:szCs w:val="21"/>
                <w14:textFill>
                  <w14:solidFill>
                    <w14:schemeClr w14:val="tx1"/>
                  </w14:solidFill>
                </w14:textFill>
              </w:rPr>
            </w:pPr>
            <w:r>
              <w:rPr>
                <w:rFonts w:hint="eastAsia" w:ascii="仿宋_GB2312" w:hAnsi="仿宋" w:eastAsia="仿宋_GB2312" w:cs="Times New Roman"/>
                <w:color w:val="000000" w:themeColor="text1"/>
                <w:kern w:val="0"/>
                <w:szCs w:val="21"/>
                <w14:textFill>
                  <w14:solidFill>
                    <w14:schemeClr w14:val="tx1"/>
                  </w14:solidFill>
                </w14:textFill>
              </w:rPr>
              <w:t>三元公司</w:t>
            </w:r>
          </w:p>
        </w:tc>
        <w:tc>
          <w:tcPr>
            <w:tcW w:w="1250" w:type="dxa"/>
            <w:tcBorders>
              <w:tl2br w:val="nil"/>
              <w:tr2bl w:val="nil"/>
            </w:tcBorders>
          </w:tcPr>
          <w:p>
            <w:pPr>
              <w:spacing w:line="360" w:lineRule="auto"/>
              <w:jc w:val="center"/>
              <w:rPr>
                <w:rFonts w:ascii="仿宋_GB2312" w:hAnsi="仿宋" w:eastAsia="仿宋_GB2312" w:cs="Times New Roman"/>
                <w:color w:val="000000" w:themeColor="text1"/>
                <w:kern w:val="0"/>
                <w:szCs w:val="21"/>
                <w14:textFill>
                  <w14:solidFill>
                    <w14:schemeClr w14:val="tx1"/>
                  </w14:solidFill>
                </w14:textFill>
              </w:rPr>
            </w:pPr>
            <w:r>
              <w:rPr>
                <w:rFonts w:hint="eastAsia" w:ascii="仿宋_GB2312" w:hAnsi="仿宋" w:eastAsia="仿宋_GB2312" w:cs="Times New Roman"/>
                <w:color w:val="000000" w:themeColor="text1"/>
                <w:kern w:val="0"/>
                <w:szCs w:val="21"/>
                <w14:textFill>
                  <w14:solidFill>
                    <w14:schemeClr w14:val="tx1"/>
                  </w14:solidFill>
                </w14:textFill>
              </w:rPr>
              <w:t>97.8</w:t>
            </w:r>
          </w:p>
        </w:tc>
        <w:tc>
          <w:tcPr>
            <w:tcW w:w="1087" w:type="dxa"/>
            <w:tcBorders>
              <w:tl2br w:val="nil"/>
              <w:tr2bl w:val="nil"/>
            </w:tcBorders>
          </w:tcPr>
          <w:p>
            <w:pPr>
              <w:spacing w:line="360" w:lineRule="auto"/>
              <w:jc w:val="center"/>
              <w:rPr>
                <w:rFonts w:ascii="仿宋_GB2312" w:hAnsi="仿宋" w:eastAsia="仿宋_GB2312" w:cs="Times New Roman"/>
                <w:color w:val="000000" w:themeColor="text1"/>
                <w:kern w:val="0"/>
                <w:szCs w:val="21"/>
                <w14:textFill>
                  <w14:solidFill>
                    <w14:schemeClr w14:val="tx1"/>
                  </w14:solidFill>
                </w14:textFill>
              </w:rPr>
            </w:pPr>
            <w:r>
              <w:rPr>
                <w:rFonts w:hint="eastAsia" w:ascii="仿宋_GB2312" w:hAnsi="仿宋" w:eastAsia="仿宋_GB2312" w:cs="Times New Roman"/>
                <w:color w:val="000000" w:themeColor="text1"/>
                <w:kern w:val="0"/>
                <w:szCs w:val="21"/>
                <w14:textFill>
                  <w14:solidFill>
                    <w14:schemeClr w14:val="tx1"/>
                  </w14:solidFill>
                </w14:textFill>
              </w:rPr>
              <w:t>1.2</w:t>
            </w:r>
          </w:p>
        </w:tc>
        <w:tc>
          <w:tcPr>
            <w:tcW w:w="1213" w:type="dxa"/>
            <w:tcBorders>
              <w:tl2br w:val="nil"/>
              <w:tr2bl w:val="nil"/>
            </w:tcBorders>
          </w:tcPr>
          <w:p>
            <w:pPr>
              <w:spacing w:line="360" w:lineRule="auto"/>
              <w:jc w:val="center"/>
              <w:rPr>
                <w:rFonts w:ascii="仿宋_GB2312" w:hAnsi="仿宋" w:eastAsia="仿宋_GB2312" w:cs="Times New Roman"/>
                <w:color w:val="000000" w:themeColor="text1"/>
                <w:kern w:val="0"/>
                <w:szCs w:val="21"/>
                <w14:textFill>
                  <w14:solidFill>
                    <w14:schemeClr w14:val="tx1"/>
                  </w14:solidFill>
                </w14:textFill>
              </w:rPr>
            </w:pPr>
            <w:r>
              <w:rPr>
                <w:rFonts w:hint="eastAsia" w:ascii="仿宋_GB2312" w:hAnsi="仿宋" w:eastAsia="仿宋_GB2312" w:cs="Times New Roman"/>
                <w:color w:val="000000" w:themeColor="text1"/>
                <w:kern w:val="0"/>
                <w:szCs w:val="21"/>
                <w14:textFill>
                  <w14:solidFill>
                    <w14:schemeClr w14:val="tx1"/>
                  </w14:solidFill>
                </w14:textFill>
              </w:rPr>
              <w:t>0.2</w:t>
            </w:r>
          </w:p>
        </w:tc>
        <w:tc>
          <w:tcPr>
            <w:tcW w:w="1212" w:type="dxa"/>
            <w:tcBorders>
              <w:tl2br w:val="nil"/>
              <w:tr2bl w:val="nil"/>
            </w:tcBorders>
          </w:tcPr>
          <w:p>
            <w:pPr>
              <w:spacing w:line="360" w:lineRule="auto"/>
              <w:jc w:val="center"/>
              <w:rPr>
                <w:rFonts w:ascii="仿宋_GB2312" w:hAnsi="仿宋" w:eastAsia="仿宋_GB2312" w:cs="Times New Roman"/>
                <w:color w:val="000000" w:themeColor="text1"/>
                <w:kern w:val="0"/>
                <w:szCs w:val="21"/>
                <w14:textFill>
                  <w14:solidFill>
                    <w14:schemeClr w14:val="tx1"/>
                  </w14:solidFill>
                </w14:textFill>
              </w:rPr>
            </w:pPr>
            <w:r>
              <w:rPr>
                <w:rFonts w:hint="eastAsia" w:ascii="仿宋_GB2312" w:hAnsi="仿宋" w:eastAsia="仿宋_GB2312" w:cs="Times New Roman"/>
                <w:color w:val="000000" w:themeColor="text1"/>
                <w:kern w:val="0"/>
                <w:szCs w:val="21"/>
                <w14:textFill>
                  <w14:solidFill>
                    <w14:schemeClr w14:val="tx1"/>
                  </w14:solidFill>
                </w14:textFill>
              </w:rPr>
              <w:t>0.3</w:t>
            </w:r>
          </w:p>
        </w:tc>
        <w:tc>
          <w:tcPr>
            <w:tcW w:w="1125" w:type="dxa"/>
            <w:tcBorders>
              <w:tl2br w:val="nil"/>
              <w:tr2bl w:val="nil"/>
            </w:tcBorders>
          </w:tcPr>
          <w:p>
            <w:pPr>
              <w:spacing w:line="360" w:lineRule="auto"/>
              <w:jc w:val="center"/>
              <w:rPr>
                <w:rFonts w:ascii="仿宋_GB2312" w:hAnsi="仿宋" w:eastAsia="仿宋_GB2312" w:cs="Times New Roman"/>
                <w:color w:val="000000" w:themeColor="text1"/>
                <w:kern w:val="0"/>
                <w:szCs w:val="21"/>
                <w14:textFill>
                  <w14:solidFill>
                    <w14:schemeClr w14:val="tx1"/>
                  </w14:solidFill>
                </w14:textFill>
              </w:rPr>
            </w:pPr>
            <w:r>
              <w:rPr>
                <w:rFonts w:hint="eastAsia" w:ascii="仿宋_GB2312" w:hAnsi="仿宋" w:eastAsia="仿宋_GB2312" w:cs="Times New Roman"/>
                <w:color w:val="000000" w:themeColor="text1"/>
                <w:kern w:val="0"/>
                <w:szCs w:val="21"/>
                <w14:textFill>
                  <w14:solidFill>
                    <w14:schemeClr w14:val="tx1"/>
                  </w14:solidFill>
                </w14:textFill>
              </w:rPr>
              <w:t>0.04</w:t>
            </w:r>
          </w:p>
        </w:tc>
        <w:tc>
          <w:tcPr>
            <w:tcW w:w="1080" w:type="dxa"/>
            <w:tcBorders>
              <w:tl2br w:val="nil"/>
              <w:tr2bl w:val="nil"/>
            </w:tcBorders>
          </w:tcPr>
          <w:p>
            <w:pPr>
              <w:spacing w:line="360" w:lineRule="auto"/>
              <w:jc w:val="center"/>
              <w:rPr>
                <w:rFonts w:ascii="仿宋_GB2312" w:hAnsi="仿宋" w:eastAsia="仿宋_GB2312" w:cs="Times New Roman"/>
                <w:color w:val="000000" w:themeColor="text1"/>
                <w:kern w:val="0"/>
                <w:szCs w:val="21"/>
                <w14:textFill>
                  <w14:solidFill>
                    <w14:schemeClr w14:val="tx1"/>
                  </w14:solidFill>
                </w14:textFill>
              </w:rPr>
            </w:pPr>
            <w:r>
              <w:rPr>
                <w:rFonts w:hint="eastAsia" w:ascii="仿宋_GB2312" w:hAnsi="仿宋" w:eastAsia="仿宋_GB2312" w:cs="Times New Roman"/>
                <w:color w:val="000000" w:themeColor="text1"/>
                <w:kern w:val="0"/>
                <w:szCs w:val="21"/>
                <w14:textFill>
                  <w14:solidFill>
                    <w14:schemeClr w14:val="tx1"/>
                  </w14:solidFill>
                </w14:textFill>
              </w:rPr>
              <w:t>1ppm</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1555" w:type="dxa"/>
            <w:tcBorders>
              <w:tl2br w:val="nil"/>
              <w:tr2bl w:val="nil"/>
            </w:tcBorders>
          </w:tcPr>
          <w:p>
            <w:pPr>
              <w:spacing w:line="360" w:lineRule="auto"/>
              <w:jc w:val="center"/>
              <w:rPr>
                <w:rFonts w:ascii="仿宋_GB2312" w:hAnsi="仿宋" w:eastAsia="仿宋_GB2312" w:cs="Times New Roman"/>
                <w:color w:val="000000" w:themeColor="text1"/>
                <w:kern w:val="0"/>
                <w:szCs w:val="21"/>
                <w14:textFill>
                  <w14:solidFill>
                    <w14:schemeClr w14:val="tx1"/>
                  </w14:solidFill>
                </w14:textFill>
              </w:rPr>
            </w:pPr>
            <w:r>
              <w:rPr>
                <w:rFonts w:hint="eastAsia" w:ascii="仿宋_GB2312" w:hAnsi="仿宋" w:eastAsia="仿宋_GB2312" w:cs="Times New Roman"/>
                <w:color w:val="000000" w:themeColor="text1"/>
                <w:kern w:val="0"/>
                <w:szCs w:val="21"/>
                <w14:textFill>
                  <w14:solidFill>
                    <w14:schemeClr w14:val="tx1"/>
                  </w14:solidFill>
                </w14:textFill>
              </w:rPr>
              <w:t>晶达公司</w:t>
            </w:r>
          </w:p>
        </w:tc>
        <w:tc>
          <w:tcPr>
            <w:tcW w:w="1250" w:type="dxa"/>
            <w:tcBorders>
              <w:tl2br w:val="nil"/>
              <w:tr2bl w:val="nil"/>
            </w:tcBorders>
          </w:tcPr>
          <w:p>
            <w:pPr>
              <w:spacing w:line="360" w:lineRule="auto"/>
              <w:jc w:val="center"/>
              <w:rPr>
                <w:rFonts w:ascii="仿宋_GB2312" w:hAnsi="仿宋" w:eastAsia="仿宋_GB2312" w:cs="Times New Roman"/>
                <w:color w:val="000000" w:themeColor="text1"/>
                <w:kern w:val="0"/>
                <w:szCs w:val="21"/>
                <w14:textFill>
                  <w14:solidFill>
                    <w14:schemeClr w14:val="tx1"/>
                  </w14:solidFill>
                </w14:textFill>
              </w:rPr>
            </w:pPr>
            <w:r>
              <w:rPr>
                <w:rFonts w:hint="eastAsia" w:ascii="仿宋_GB2312" w:hAnsi="仿宋" w:eastAsia="仿宋_GB2312" w:cs="Times New Roman"/>
                <w:color w:val="000000" w:themeColor="text1"/>
                <w:kern w:val="0"/>
                <w:szCs w:val="21"/>
                <w14:textFill>
                  <w14:solidFill>
                    <w14:schemeClr w14:val="tx1"/>
                  </w14:solidFill>
                </w14:textFill>
              </w:rPr>
              <w:t>98.2</w:t>
            </w:r>
          </w:p>
        </w:tc>
        <w:tc>
          <w:tcPr>
            <w:tcW w:w="1087" w:type="dxa"/>
            <w:tcBorders>
              <w:tl2br w:val="nil"/>
              <w:tr2bl w:val="nil"/>
            </w:tcBorders>
          </w:tcPr>
          <w:p>
            <w:pPr>
              <w:spacing w:line="360" w:lineRule="auto"/>
              <w:jc w:val="center"/>
              <w:rPr>
                <w:rFonts w:ascii="仿宋_GB2312" w:hAnsi="仿宋" w:eastAsia="仿宋_GB2312" w:cs="Times New Roman"/>
                <w:color w:val="000000" w:themeColor="text1"/>
                <w:kern w:val="0"/>
                <w:szCs w:val="21"/>
                <w14:textFill>
                  <w14:solidFill>
                    <w14:schemeClr w14:val="tx1"/>
                  </w14:solidFill>
                </w14:textFill>
              </w:rPr>
            </w:pPr>
            <w:r>
              <w:rPr>
                <w:rFonts w:hint="eastAsia" w:ascii="仿宋_GB2312" w:hAnsi="仿宋" w:eastAsia="仿宋_GB2312" w:cs="Times New Roman"/>
                <w:color w:val="000000" w:themeColor="text1"/>
                <w:kern w:val="0"/>
                <w:szCs w:val="21"/>
                <w14:textFill>
                  <w14:solidFill>
                    <w14:schemeClr w14:val="tx1"/>
                  </w14:solidFill>
                </w14:textFill>
              </w:rPr>
              <w:t>0.7</w:t>
            </w:r>
          </w:p>
        </w:tc>
        <w:tc>
          <w:tcPr>
            <w:tcW w:w="1213" w:type="dxa"/>
            <w:tcBorders>
              <w:tl2br w:val="nil"/>
              <w:tr2bl w:val="nil"/>
            </w:tcBorders>
          </w:tcPr>
          <w:p>
            <w:pPr>
              <w:spacing w:line="360" w:lineRule="auto"/>
              <w:jc w:val="center"/>
              <w:rPr>
                <w:rFonts w:ascii="仿宋_GB2312" w:hAnsi="仿宋" w:eastAsia="仿宋_GB2312" w:cs="Times New Roman"/>
                <w:color w:val="000000" w:themeColor="text1"/>
                <w:kern w:val="0"/>
                <w:szCs w:val="21"/>
                <w14:textFill>
                  <w14:solidFill>
                    <w14:schemeClr w14:val="tx1"/>
                  </w14:solidFill>
                </w14:textFill>
              </w:rPr>
            </w:pPr>
            <w:r>
              <w:rPr>
                <w:rFonts w:hint="eastAsia" w:ascii="仿宋_GB2312" w:hAnsi="仿宋" w:eastAsia="仿宋_GB2312" w:cs="Times New Roman"/>
                <w:color w:val="000000" w:themeColor="text1"/>
                <w:kern w:val="0"/>
                <w:szCs w:val="21"/>
                <w14:textFill>
                  <w14:solidFill>
                    <w14:schemeClr w14:val="tx1"/>
                  </w14:solidFill>
                </w14:textFill>
              </w:rPr>
              <w:t>0.1</w:t>
            </w:r>
          </w:p>
        </w:tc>
        <w:tc>
          <w:tcPr>
            <w:tcW w:w="1212" w:type="dxa"/>
            <w:tcBorders>
              <w:tl2br w:val="nil"/>
              <w:tr2bl w:val="nil"/>
            </w:tcBorders>
          </w:tcPr>
          <w:p>
            <w:pPr>
              <w:spacing w:line="360" w:lineRule="auto"/>
              <w:jc w:val="center"/>
              <w:rPr>
                <w:rFonts w:ascii="仿宋_GB2312" w:hAnsi="仿宋" w:eastAsia="仿宋_GB2312" w:cs="Times New Roman"/>
                <w:color w:val="000000" w:themeColor="text1"/>
                <w:kern w:val="0"/>
                <w:szCs w:val="21"/>
                <w14:textFill>
                  <w14:solidFill>
                    <w14:schemeClr w14:val="tx1"/>
                  </w14:solidFill>
                </w14:textFill>
              </w:rPr>
            </w:pPr>
            <w:r>
              <w:rPr>
                <w:rFonts w:hint="eastAsia" w:ascii="仿宋_GB2312" w:hAnsi="仿宋" w:eastAsia="仿宋_GB2312" w:cs="Times New Roman"/>
                <w:color w:val="000000" w:themeColor="text1"/>
                <w:kern w:val="0"/>
                <w:szCs w:val="21"/>
                <w14:textFill>
                  <w14:solidFill>
                    <w14:schemeClr w14:val="tx1"/>
                  </w14:solidFill>
                </w14:textFill>
              </w:rPr>
              <w:t>0.8</w:t>
            </w:r>
          </w:p>
        </w:tc>
        <w:tc>
          <w:tcPr>
            <w:tcW w:w="1125" w:type="dxa"/>
            <w:tcBorders>
              <w:tl2br w:val="nil"/>
              <w:tr2bl w:val="nil"/>
            </w:tcBorders>
          </w:tcPr>
          <w:p>
            <w:pPr>
              <w:spacing w:line="360" w:lineRule="auto"/>
              <w:jc w:val="center"/>
              <w:rPr>
                <w:rFonts w:ascii="仿宋_GB2312" w:hAnsi="仿宋" w:eastAsia="仿宋_GB2312" w:cs="Times New Roman"/>
                <w:color w:val="000000" w:themeColor="text1"/>
                <w:kern w:val="0"/>
                <w:szCs w:val="21"/>
                <w14:textFill>
                  <w14:solidFill>
                    <w14:schemeClr w14:val="tx1"/>
                  </w14:solidFill>
                </w14:textFill>
              </w:rPr>
            </w:pPr>
            <w:r>
              <w:rPr>
                <w:rFonts w:hint="eastAsia" w:ascii="仿宋_GB2312" w:hAnsi="仿宋" w:eastAsia="仿宋_GB2312" w:cs="Times New Roman"/>
                <w:color w:val="000000" w:themeColor="text1"/>
                <w:kern w:val="0"/>
                <w:szCs w:val="21"/>
                <w14:textFill>
                  <w14:solidFill>
                    <w14:schemeClr w14:val="tx1"/>
                  </w14:solidFill>
                </w14:textFill>
              </w:rPr>
              <w:t>0.09</w:t>
            </w:r>
          </w:p>
        </w:tc>
        <w:tc>
          <w:tcPr>
            <w:tcW w:w="1080" w:type="dxa"/>
            <w:tcBorders>
              <w:tl2br w:val="nil"/>
              <w:tr2bl w:val="nil"/>
            </w:tcBorders>
          </w:tcPr>
          <w:p>
            <w:pPr>
              <w:spacing w:line="360" w:lineRule="auto"/>
              <w:jc w:val="center"/>
              <w:rPr>
                <w:rFonts w:ascii="仿宋_GB2312" w:hAnsi="仿宋" w:eastAsia="仿宋_GB2312" w:cs="Times New Roman"/>
                <w:color w:val="000000" w:themeColor="text1"/>
                <w:kern w:val="0"/>
                <w:szCs w:val="21"/>
                <w14:textFill>
                  <w14:solidFill>
                    <w14:schemeClr w14:val="tx1"/>
                  </w14:solidFill>
                </w14:textFill>
              </w:rPr>
            </w:pPr>
            <w:r>
              <w:rPr>
                <w:rFonts w:hint="eastAsia" w:ascii="仿宋_GB2312" w:hAnsi="仿宋" w:eastAsia="仿宋_GB2312" w:cs="Times New Roman"/>
                <w:color w:val="000000" w:themeColor="text1"/>
                <w:kern w:val="0"/>
                <w:szCs w:val="21"/>
                <w14:textFill>
                  <w14:solidFill>
                    <w14:schemeClr w14:val="tx1"/>
                  </w14:solidFill>
                </w14:textFill>
              </w:rPr>
              <w:t>2ppm</w:t>
            </w:r>
          </w:p>
        </w:tc>
      </w:tr>
    </w:tbl>
    <w:p>
      <w:pPr>
        <w:spacing w:line="360" w:lineRule="auto"/>
        <w:ind w:firstLine="560" w:firstLineChars="200"/>
        <w:rPr>
          <w:rFonts w:ascii="仿宋_GB2312" w:hAnsi="仿宋" w:eastAsia="仿宋_GB2312"/>
          <w:color w:val="000000" w:themeColor="text1"/>
          <w:spacing w:val="-20"/>
          <w:sz w:val="32"/>
          <w:szCs w:val="32"/>
          <w14:textFill>
            <w14:solidFill>
              <w14:schemeClr w14:val="tx1"/>
            </w14:solidFill>
          </w14:textFill>
        </w:rPr>
      </w:pPr>
      <w:r>
        <w:rPr>
          <w:rFonts w:hint="eastAsia" w:ascii="仿宋_GB2312" w:hAnsi="仿宋" w:eastAsia="仿宋_GB2312"/>
          <w:color w:val="000000" w:themeColor="text1"/>
          <w:spacing w:val="-20"/>
          <w:sz w:val="32"/>
          <w:szCs w:val="32"/>
          <w14:textFill>
            <w14:solidFill>
              <w14:schemeClr w14:val="tx1"/>
            </w14:solidFill>
          </w14:textFill>
        </w:rPr>
        <w:t>氯化钾中胺类物质（包括有机胺、无机铵）超标对肥效有一定影响，在氯碱工业中存在安全风险，且高品质氯化钾产品开发存在制约，因此研究产品中除胺技术迫在眉睫。目前，国内外在废水处理行业针对氨氮去除的研究卓有成效，但在钾肥生产中除胺技术（包括卤水系统除胺、钾肥产品除胺，以及浮选药剂改良、去除、回收等）缺乏研究，更缺乏能适用于大规模生产的产业化技术。本项目拟通过关键技术研发，建设氯化钾产品除胺工业示范线、为基于盐湖氯化钾开发工业级、食品级、医药级产品奠定基础。</w:t>
      </w:r>
    </w:p>
    <w:p>
      <w:pPr>
        <w:spacing w:line="360" w:lineRule="auto"/>
        <w:ind w:firstLine="643" w:firstLineChars="200"/>
        <w:rPr>
          <w:rFonts w:ascii="仿宋_GB2312" w:hAnsi="楷体" w:eastAsia="仿宋_GB2312"/>
          <w:b/>
          <w:color w:val="000000" w:themeColor="text1"/>
          <w:sz w:val="32"/>
          <w:szCs w:val="32"/>
          <w14:textFill>
            <w14:solidFill>
              <w14:schemeClr w14:val="tx1"/>
            </w14:solidFill>
          </w14:textFill>
        </w:rPr>
      </w:pPr>
      <w:r>
        <w:rPr>
          <w:rFonts w:hint="eastAsia" w:ascii="仿宋_GB2312" w:hAnsi="楷体" w:eastAsia="仿宋_GB2312"/>
          <w:b/>
          <w:color w:val="000000" w:themeColor="text1"/>
          <w:sz w:val="32"/>
          <w:szCs w:val="32"/>
          <w14:textFill>
            <w14:solidFill>
              <w14:schemeClr w14:val="tx1"/>
            </w14:solidFill>
          </w14:textFill>
        </w:rPr>
        <w:t>二、项目研究内容、预期目标</w:t>
      </w:r>
    </w:p>
    <w:p>
      <w:pPr>
        <w:spacing w:line="360" w:lineRule="auto"/>
        <w:ind w:firstLine="643" w:firstLineChars="200"/>
        <w:rPr>
          <w:rFonts w:ascii="仿宋_GB2312" w:hAnsi="楷体" w:eastAsia="仿宋_GB2312"/>
          <w:b/>
          <w:color w:val="000000" w:themeColor="text1"/>
          <w:sz w:val="32"/>
          <w:szCs w:val="32"/>
          <w14:textFill>
            <w14:solidFill>
              <w14:schemeClr w14:val="tx1"/>
            </w14:solidFill>
          </w14:textFill>
        </w:rPr>
      </w:pPr>
      <w:r>
        <w:rPr>
          <w:rFonts w:hint="eastAsia" w:ascii="仿宋_GB2312" w:hAnsi="楷体" w:eastAsia="仿宋_GB2312"/>
          <w:b/>
          <w:color w:val="000000" w:themeColor="text1"/>
          <w:sz w:val="32"/>
          <w:szCs w:val="32"/>
          <w14:textFill>
            <w14:solidFill>
              <w14:schemeClr w14:val="tx1"/>
            </w14:solidFill>
          </w14:textFill>
        </w:rPr>
        <w:t>（一）研究内容</w:t>
      </w:r>
    </w:p>
    <w:p>
      <w:pPr>
        <w:spacing w:line="360" w:lineRule="auto"/>
        <w:ind w:firstLine="560" w:firstLineChars="200"/>
        <w:rPr>
          <w:rFonts w:hint="eastAsia" w:ascii="仿宋_GB2312" w:hAnsi="仿宋" w:eastAsia="仿宋_GB2312"/>
          <w:color w:val="000000" w:themeColor="text1"/>
          <w:spacing w:val="-20"/>
          <w:sz w:val="32"/>
          <w:szCs w:val="32"/>
          <w:lang w:val="en-US" w:eastAsia="zh-CN"/>
          <w14:textFill>
            <w14:solidFill>
              <w14:schemeClr w14:val="tx1"/>
            </w14:solidFill>
          </w14:textFill>
        </w:rPr>
      </w:pPr>
      <w:r>
        <w:rPr>
          <w:rFonts w:hint="eastAsia" w:ascii="仿宋_GB2312" w:hAnsi="仿宋" w:eastAsia="仿宋_GB2312"/>
          <w:color w:val="000000" w:themeColor="text1"/>
          <w:spacing w:val="-20"/>
          <w:sz w:val="32"/>
          <w:szCs w:val="32"/>
          <w14:textFill>
            <w14:solidFill>
              <w14:schemeClr w14:val="tx1"/>
            </w14:solidFill>
          </w14:textFill>
        </w:rPr>
        <w:t>1.开展氯化钾生产全流程（卤水开采、盐田摊晒、加工过程）的胺类物质赋存机理研究以及检测方法</w:t>
      </w:r>
      <w:r>
        <w:rPr>
          <w:rFonts w:hint="eastAsia" w:ascii="仿宋_GB2312" w:hAnsi="仿宋" w:eastAsia="仿宋_GB2312"/>
          <w:color w:val="000000" w:themeColor="text1"/>
          <w:spacing w:val="-20"/>
          <w:sz w:val="32"/>
          <w:szCs w:val="32"/>
          <w:lang w:eastAsia="zh-CN"/>
          <w14:textFill>
            <w14:solidFill>
              <w14:schemeClr w14:val="tx1"/>
            </w14:solidFill>
          </w14:textFill>
        </w:rPr>
        <w:t>；</w:t>
      </w:r>
    </w:p>
    <w:p>
      <w:pPr>
        <w:spacing w:line="360" w:lineRule="auto"/>
        <w:ind w:firstLine="560" w:firstLineChars="200"/>
        <w:rPr>
          <w:rFonts w:hint="eastAsia" w:ascii="仿宋_GB2312" w:hAnsi="仿宋" w:eastAsia="仿宋_GB2312"/>
          <w:color w:val="000000" w:themeColor="text1"/>
          <w:spacing w:val="-20"/>
          <w:sz w:val="32"/>
          <w:szCs w:val="32"/>
          <w:lang w:eastAsia="zh-CN"/>
          <w14:textFill>
            <w14:solidFill>
              <w14:schemeClr w14:val="tx1"/>
            </w14:solidFill>
          </w14:textFill>
        </w:rPr>
      </w:pPr>
      <w:r>
        <w:rPr>
          <w:rFonts w:hint="eastAsia" w:ascii="仿宋_GB2312" w:hAnsi="仿宋" w:eastAsia="仿宋_GB2312"/>
          <w:color w:val="000000" w:themeColor="text1"/>
          <w:spacing w:val="-20"/>
          <w:sz w:val="32"/>
          <w:szCs w:val="32"/>
          <w14:textFill>
            <w14:solidFill>
              <w14:schemeClr w14:val="tx1"/>
            </w14:solidFill>
          </w14:textFill>
        </w:rPr>
        <w:t>2.开展氯化钾生产中胺类物质脱附研究及产业化技术，制备出精制氯化钾产品</w:t>
      </w:r>
      <w:r>
        <w:rPr>
          <w:rFonts w:hint="eastAsia" w:ascii="仿宋_GB2312" w:hAnsi="仿宋" w:eastAsia="仿宋_GB2312"/>
          <w:color w:val="000000" w:themeColor="text1"/>
          <w:spacing w:val="-20"/>
          <w:sz w:val="32"/>
          <w:szCs w:val="32"/>
          <w:lang w:eastAsia="zh-CN"/>
          <w14:textFill>
            <w14:solidFill>
              <w14:schemeClr w14:val="tx1"/>
            </w14:solidFill>
          </w14:textFill>
        </w:rPr>
        <w:t>；</w:t>
      </w:r>
    </w:p>
    <w:p>
      <w:pPr>
        <w:spacing w:line="360" w:lineRule="auto"/>
        <w:ind w:firstLine="560" w:firstLineChars="200"/>
        <w:rPr>
          <w:rFonts w:ascii="仿宋_GB2312" w:hAnsi="仿宋" w:eastAsia="仿宋_GB2312"/>
          <w:color w:val="000000" w:themeColor="text1"/>
          <w:spacing w:val="-20"/>
          <w:sz w:val="32"/>
          <w:szCs w:val="32"/>
          <w14:textFill>
            <w14:solidFill>
              <w14:schemeClr w14:val="tx1"/>
            </w14:solidFill>
          </w14:textFill>
        </w:rPr>
      </w:pPr>
      <w:r>
        <w:rPr>
          <w:rFonts w:hint="eastAsia" w:ascii="仿宋_GB2312" w:hAnsi="仿宋" w:eastAsia="仿宋_GB2312"/>
          <w:color w:val="000000" w:themeColor="text1"/>
          <w:spacing w:val="-20"/>
          <w:sz w:val="32"/>
          <w:szCs w:val="32"/>
          <w14:textFill>
            <w14:solidFill>
              <w14:schemeClr w14:val="tx1"/>
            </w14:solidFill>
          </w14:textFill>
        </w:rPr>
        <w:t>3.评价浮选药剂对盐湖系统影响，改良浮选药剂及产业化制备技术。</w:t>
      </w:r>
    </w:p>
    <w:p>
      <w:pPr>
        <w:spacing w:line="360" w:lineRule="auto"/>
        <w:ind w:firstLine="643" w:firstLineChars="200"/>
        <w:rPr>
          <w:rFonts w:ascii="仿宋_GB2312" w:hAnsi="楷体" w:eastAsia="仿宋_GB2312"/>
          <w:b/>
          <w:color w:val="000000" w:themeColor="text1"/>
          <w:sz w:val="32"/>
          <w:szCs w:val="32"/>
          <w14:textFill>
            <w14:solidFill>
              <w14:schemeClr w14:val="tx1"/>
            </w14:solidFill>
          </w14:textFill>
        </w:rPr>
      </w:pPr>
      <w:r>
        <w:rPr>
          <w:rFonts w:hint="eastAsia" w:ascii="仿宋_GB2312" w:hAnsi="楷体" w:eastAsia="仿宋_GB2312"/>
          <w:b/>
          <w:color w:val="000000" w:themeColor="text1"/>
          <w:sz w:val="32"/>
          <w:szCs w:val="32"/>
          <w14:textFill>
            <w14:solidFill>
              <w14:schemeClr w14:val="tx1"/>
            </w14:solidFill>
          </w14:textFill>
        </w:rPr>
        <w:t>（二）预期目标</w:t>
      </w:r>
    </w:p>
    <w:p>
      <w:pPr>
        <w:spacing w:line="360" w:lineRule="auto"/>
        <w:ind w:firstLine="560" w:firstLineChars="200"/>
        <w:rPr>
          <w:rFonts w:hint="eastAsia" w:ascii="仿宋_GB2312" w:hAnsi="仿宋" w:eastAsia="仿宋_GB2312"/>
          <w:color w:val="000000" w:themeColor="text1"/>
          <w:spacing w:val="-20"/>
          <w:sz w:val="32"/>
          <w:szCs w:val="32"/>
          <w:lang w:eastAsia="zh-CN"/>
          <w14:textFill>
            <w14:solidFill>
              <w14:schemeClr w14:val="tx1"/>
            </w14:solidFill>
          </w14:textFill>
        </w:rPr>
      </w:pPr>
      <w:r>
        <w:rPr>
          <w:rFonts w:hint="eastAsia" w:ascii="仿宋_GB2312" w:hAnsi="仿宋" w:eastAsia="仿宋_GB2312"/>
          <w:color w:val="000000" w:themeColor="text1"/>
          <w:spacing w:val="-20"/>
          <w:sz w:val="32"/>
          <w:szCs w:val="32"/>
          <w14:textFill>
            <w14:solidFill>
              <w14:schemeClr w14:val="tx1"/>
            </w14:solidFill>
          </w14:textFill>
        </w:rPr>
        <w:t>1.掌握钾肥生产全流程的胺类物质赋存机理，建立一种适用于盐湖系统胺类物质的检测方法</w:t>
      </w:r>
      <w:r>
        <w:rPr>
          <w:rFonts w:hint="eastAsia" w:ascii="仿宋_GB2312" w:hAnsi="仿宋" w:eastAsia="仿宋_GB2312"/>
          <w:color w:val="000000" w:themeColor="text1"/>
          <w:spacing w:val="-20"/>
          <w:sz w:val="32"/>
          <w:szCs w:val="32"/>
          <w:lang w:eastAsia="zh-CN"/>
          <w14:textFill>
            <w14:solidFill>
              <w14:schemeClr w14:val="tx1"/>
            </w14:solidFill>
          </w14:textFill>
        </w:rPr>
        <w:t>；</w:t>
      </w:r>
    </w:p>
    <w:p>
      <w:pPr>
        <w:spacing w:line="360" w:lineRule="auto"/>
        <w:ind w:firstLine="560" w:firstLineChars="200"/>
        <w:rPr>
          <w:rFonts w:hint="eastAsia" w:ascii="仿宋_GB2312" w:hAnsi="仿宋" w:eastAsia="仿宋_GB2312"/>
          <w:color w:val="000000" w:themeColor="text1"/>
          <w:spacing w:val="-20"/>
          <w:sz w:val="32"/>
          <w:szCs w:val="32"/>
          <w:lang w:eastAsia="zh-CN"/>
          <w14:textFill>
            <w14:solidFill>
              <w14:schemeClr w14:val="tx1"/>
            </w14:solidFill>
          </w14:textFill>
        </w:rPr>
      </w:pPr>
      <w:r>
        <w:rPr>
          <w:rFonts w:hint="eastAsia" w:ascii="仿宋_GB2312" w:hAnsi="仿宋" w:eastAsia="仿宋_GB2312"/>
          <w:color w:val="000000" w:themeColor="text1"/>
          <w:spacing w:val="-20"/>
          <w:sz w:val="32"/>
          <w:szCs w:val="32"/>
          <w14:textFill>
            <w14:solidFill>
              <w14:schemeClr w14:val="tx1"/>
            </w14:solidFill>
          </w14:textFill>
        </w:rPr>
        <w:t>2.开发出一种适用于钾肥产品的除胺新技术和新工艺</w:t>
      </w:r>
      <w:r>
        <w:rPr>
          <w:rFonts w:hint="eastAsia" w:ascii="仿宋_GB2312" w:hAnsi="仿宋" w:eastAsia="仿宋_GB2312"/>
          <w:color w:val="000000" w:themeColor="text1"/>
          <w:spacing w:val="-20"/>
          <w:sz w:val="32"/>
          <w:szCs w:val="32"/>
          <w:lang w:eastAsia="zh-CN"/>
          <w14:textFill>
            <w14:solidFill>
              <w14:schemeClr w14:val="tx1"/>
            </w14:solidFill>
          </w14:textFill>
        </w:rPr>
        <w:t>；</w:t>
      </w:r>
    </w:p>
    <w:p>
      <w:pPr>
        <w:spacing w:line="360" w:lineRule="auto"/>
        <w:ind w:firstLine="560" w:firstLineChars="200"/>
        <w:rPr>
          <w:rFonts w:ascii="仿宋_GB2312" w:hAnsi="仿宋" w:eastAsia="仿宋_GB2312"/>
          <w:color w:val="000000" w:themeColor="text1"/>
          <w:spacing w:val="-20"/>
          <w:sz w:val="32"/>
          <w:szCs w:val="32"/>
          <w14:textFill>
            <w14:solidFill>
              <w14:schemeClr w14:val="tx1"/>
            </w14:solidFill>
          </w14:textFill>
        </w:rPr>
      </w:pPr>
      <w:r>
        <w:rPr>
          <w:rFonts w:hint="eastAsia" w:ascii="仿宋_GB2312" w:hAnsi="仿宋" w:eastAsia="仿宋_GB2312"/>
          <w:color w:val="000000" w:themeColor="text1"/>
          <w:spacing w:val="-20"/>
          <w:sz w:val="32"/>
          <w:szCs w:val="32"/>
          <w14:textFill>
            <w14:solidFill>
              <w14:schemeClr w14:val="tx1"/>
            </w14:solidFill>
          </w14:textFill>
        </w:rPr>
        <w:t>3.形成浮选药剂对盐湖系统的影响评价研究报告，开发一种改良型浮选药剂。</w:t>
      </w:r>
    </w:p>
    <w:p>
      <w:pPr>
        <w:spacing w:line="360" w:lineRule="auto"/>
        <w:ind w:firstLine="643" w:firstLineChars="200"/>
        <w:rPr>
          <w:rFonts w:ascii="仿宋_GB2312" w:hAnsi="楷体" w:eastAsia="仿宋_GB2312"/>
          <w:b/>
          <w:color w:val="000000" w:themeColor="text1"/>
          <w:sz w:val="32"/>
          <w:szCs w:val="32"/>
          <w14:textFill>
            <w14:solidFill>
              <w14:schemeClr w14:val="tx1"/>
            </w14:solidFill>
          </w14:textFill>
        </w:rPr>
      </w:pPr>
      <w:r>
        <w:rPr>
          <w:rFonts w:hint="eastAsia" w:ascii="仿宋_GB2312" w:hAnsi="楷体" w:eastAsia="仿宋_GB2312"/>
          <w:b/>
          <w:color w:val="000000" w:themeColor="text1"/>
          <w:sz w:val="32"/>
          <w:szCs w:val="32"/>
          <w14:textFill>
            <w14:solidFill>
              <w14:schemeClr w14:val="tx1"/>
            </w14:solidFill>
          </w14:textFill>
        </w:rPr>
        <w:t>三、项目研究合作模式</w:t>
      </w:r>
    </w:p>
    <w:p>
      <w:pPr>
        <w:spacing w:line="360" w:lineRule="auto"/>
        <w:ind w:firstLine="560" w:firstLineChars="200"/>
        <w:rPr>
          <w:rFonts w:hint="eastAsia" w:ascii="仿宋_GB2312" w:hAnsi="仿宋" w:eastAsia="仿宋_GB2312"/>
          <w:color w:val="000000" w:themeColor="text1"/>
          <w:spacing w:val="-20"/>
          <w:sz w:val="32"/>
          <w:szCs w:val="32"/>
          <w14:textFill>
            <w14:solidFill>
              <w14:schemeClr w14:val="tx1"/>
            </w14:solidFill>
          </w14:textFill>
        </w:rPr>
      </w:pPr>
      <w:r>
        <w:rPr>
          <w:rFonts w:hint="eastAsia" w:ascii="仿宋_GB2312" w:hAnsi="仿宋" w:eastAsia="仿宋_GB2312"/>
          <w:color w:val="000000" w:themeColor="text1"/>
          <w:spacing w:val="-20"/>
          <w:sz w:val="32"/>
          <w:szCs w:val="32"/>
          <w14:textFill>
            <w14:solidFill>
              <w14:schemeClr w14:val="tx1"/>
            </w14:solidFill>
          </w14:textFill>
        </w:rPr>
        <w:t>本项目将由青海盐湖工业股份有限公司作为投资主体，通过“揭榜挂帅”的方式引进科研院所、高校、企业等进行联合攻关或技术引进。</w:t>
      </w:r>
    </w:p>
    <w:p>
      <w:pPr>
        <w:rPr>
          <w:rFonts w:hint="eastAsia" w:ascii="仿宋_GB2312" w:hAnsi="仿宋" w:eastAsia="仿宋_GB2312"/>
          <w:color w:val="000000" w:themeColor="text1"/>
          <w:spacing w:val="-20"/>
          <w:sz w:val="32"/>
          <w:szCs w:val="32"/>
          <w:lang w:eastAsia="zh-CN"/>
          <w14:textFill>
            <w14:solidFill>
              <w14:schemeClr w14:val="tx1"/>
            </w14:solidFill>
          </w14:textFill>
        </w:rPr>
      </w:pPr>
      <w:r>
        <w:rPr>
          <w:rFonts w:hint="eastAsia" w:ascii="仿宋_GB2312" w:hAnsi="仿宋" w:eastAsia="仿宋_GB2312"/>
          <w:color w:val="000000" w:themeColor="text1"/>
          <w:spacing w:val="-20"/>
          <w:sz w:val="32"/>
          <w:szCs w:val="32"/>
          <w14:textFill>
            <w14:solidFill>
              <w14:schemeClr w14:val="tx1"/>
            </w14:solidFill>
          </w14:textFill>
        </w:rPr>
        <w:br w:type="page"/>
      </w:r>
    </w:p>
    <w:p>
      <w:pPr>
        <w:spacing w:line="360" w:lineRule="auto"/>
        <w:jc w:val="center"/>
        <w:rPr>
          <w:rFonts w:ascii="仿宋_GB2312" w:hAnsi="黑体" w:eastAsia="仿宋_GB2312" w:cs="Times New Roman"/>
          <w:b/>
          <w:color w:val="000000" w:themeColor="text1"/>
          <w:sz w:val="32"/>
          <w:szCs w:val="32"/>
          <w14:textFill>
            <w14:solidFill>
              <w14:schemeClr w14:val="tx1"/>
            </w14:solidFill>
          </w14:textFill>
        </w:rPr>
      </w:pPr>
      <w:r>
        <w:rPr>
          <w:rFonts w:hint="eastAsia" w:ascii="仿宋_GB2312" w:hAnsi="华文中宋" w:eastAsia="仿宋_GB2312"/>
          <w:b/>
          <w:color w:val="000000" w:themeColor="text1"/>
          <w:sz w:val="32"/>
          <w:szCs w:val="32"/>
          <w14:textFill>
            <w14:solidFill>
              <w14:schemeClr w14:val="tx1"/>
            </w14:solidFill>
          </w14:textFill>
        </w:rPr>
        <w:t>项目2  电解制取金属锂技术</w:t>
      </w:r>
    </w:p>
    <w:p>
      <w:pPr>
        <w:spacing w:line="360" w:lineRule="auto"/>
        <w:ind w:firstLine="643" w:firstLineChars="200"/>
        <w:rPr>
          <w:rFonts w:ascii="仿宋_GB2312" w:hAnsi="楷体" w:eastAsia="仿宋_GB2312" w:cs="Times New Roman"/>
          <w:b/>
          <w:color w:val="000000" w:themeColor="text1"/>
          <w:sz w:val="32"/>
          <w:szCs w:val="32"/>
          <w14:textFill>
            <w14:solidFill>
              <w14:schemeClr w14:val="tx1"/>
            </w14:solidFill>
          </w14:textFill>
        </w:rPr>
      </w:pPr>
      <w:r>
        <w:rPr>
          <w:rFonts w:hint="eastAsia" w:ascii="仿宋_GB2312" w:hAnsi="楷体" w:eastAsia="仿宋_GB2312" w:cs="Times New Roman"/>
          <w:b/>
          <w:color w:val="000000" w:themeColor="text1"/>
          <w:sz w:val="32"/>
          <w:szCs w:val="32"/>
          <w14:textFill>
            <w14:solidFill>
              <w14:schemeClr w14:val="tx1"/>
            </w14:solidFill>
          </w14:textFill>
        </w:rPr>
        <w:t>一、项目立项背景</w:t>
      </w:r>
    </w:p>
    <w:p>
      <w:pPr>
        <w:adjustRightInd w:val="0"/>
        <w:spacing w:line="360" w:lineRule="auto"/>
        <w:ind w:firstLine="560" w:firstLineChars="200"/>
        <w:rPr>
          <w:rFonts w:ascii="仿宋_GB2312" w:eastAsia="仿宋_GB2312"/>
          <w:bCs/>
          <w:color w:val="000000" w:themeColor="text1"/>
          <w:spacing w:val="-23"/>
          <w:sz w:val="32"/>
          <w:szCs w:val="32"/>
          <w14:textFill>
            <w14:solidFill>
              <w14:schemeClr w14:val="tx1"/>
            </w14:solidFill>
          </w14:textFill>
        </w:rPr>
      </w:pPr>
      <w:r>
        <w:rPr>
          <w:rFonts w:hint="eastAsia" w:ascii="仿宋_GB2312" w:eastAsia="仿宋_GB2312"/>
          <w:bCs/>
          <w:color w:val="000000" w:themeColor="text1"/>
          <w:spacing w:val="-20"/>
          <w:sz w:val="32"/>
          <w:szCs w:val="32"/>
          <w14:textFill>
            <w14:solidFill>
              <w14:schemeClr w14:val="tx1"/>
            </w14:solidFill>
          </w14:textFill>
        </w:rPr>
        <w:t>盐湖锂在我国锂资源中占比巨大，是保障我国新能源发展的重要资源保障之一。发展锂资源开发利用技术，不仅有利用保障能源安全，而且可为“碳达峰碳中和”提供有力科技支撑。青海盐湖卤水中的氯化锂(LiCl)资源储量共计约1982万t，占到我国锂资源储量的一半以上，具有很高的开采价值和巨大的经济效益。柴达木盆地现已</w:t>
      </w:r>
      <w:r>
        <w:rPr>
          <w:rFonts w:hint="eastAsia" w:ascii="仿宋_GB2312" w:hAnsi="宋体" w:eastAsia="仿宋_GB2312" w:cs="宋体"/>
          <w:bCs/>
          <w:color w:val="000000" w:themeColor="text1"/>
          <w:spacing w:val="-20"/>
          <w:sz w:val="32"/>
          <w:szCs w:val="32"/>
          <w14:textFill>
            <w14:solidFill>
              <w14:schemeClr w14:val="tx1"/>
            </w14:solidFill>
          </w14:textFill>
        </w:rPr>
        <w:t>查</w:t>
      </w:r>
      <w:r>
        <w:rPr>
          <w:rFonts w:hint="eastAsia" w:ascii="仿宋_GB2312" w:eastAsia="仿宋_GB2312"/>
          <w:bCs/>
          <w:color w:val="000000" w:themeColor="text1"/>
          <w:spacing w:val="-20"/>
          <w:sz w:val="32"/>
          <w:szCs w:val="32"/>
          <w14:textFill>
            <w14:solidFill>
              <w14:schemeClr w14:val="tx1"/>
            </w14:solidFill>
          </w14:textFill>
        </w:rPr>
        <w:t>明</w:t>
      </w:r>
      <w:r>
        <w:rPr>
          <w:rFonts w:hint="eastAsia" w:ascii="仿宋_GB2312" w:eastAsia="仿宋_GB2312"/>
          <w:bCs/>
          <w:color w:val="000000" w:themeColor="text1"/>
          <w:spacing w:val="-23"/>
          <w:sz w:val="32"/>
          <w:szCs w:val="32"/>
          <w14:textFill>
            <w14:solidFill>
              <w14:schemeClr w14:val="tx1"/>
            </w14:solidFill>
          </w14:textFill>
        </w:rPr>
        <w:t>有11个硫酸盐型盐湖中的锂含量达到工业品位，包括东台吉乃尔、西台吉乃尔、察尔汗和一里坪等。主要盐湖锂资源品位及储量见下表</w:t>
      </w:r>
      <w:r>
        <w:rPr>
          <w:rFonts w:hint="eastAsia" w:ascii="仿宋_GB2312" w:eastAsia="仿宋_GB2312"/>
          <w:bCs/>
          <w:color w:val="000000" w:themeColor="text1"/>
          <w:spacing w:val="-23"/>
          <w:sz w:val="32"/>
          <w:szCs w:val="32"/>
          <w:lang w:val="en-US" w:eastAsia="zh-CN"/>
          <w14:textFill>
            <w14:solidFill>
              <w14:schemeClr w14:val="tx1"/>
            </w14:solidFill>
          </w14:textFill>
        </w:rPr>
        <w:t>2</w:t>
      </w:r>
      <w:r>
        <w:rPr>
          <w:rFonts w:hint="eastAsia" w:ascii="仿宋_GB2312" w:eastAsia="仿宋_GB2312"/>
          <w:bCs/>
          <w:color w:val="000000" w:themeColor="text1"/>
          <w:spacing w:val="-23"/>
          <w:sz w:val="32"/>
          <w:szCs w:val="32"/>
          <w14:textFill>
            <w14:solidFill>
              <w14:schemeClr w14:val="tx1"/>
            </w14:solidFill>
          </w14:textFill>
        </w:rPr>
        <w:t>。</w:t>
      </w:r>
    </w:p>
    <w:p>
      <w:pPr>
        <w:adjustRightInd w:val="0"/>
        <w:spacing w:line="360" w:lineRule="auto"/>
        <w:ind w:firstLine="640" w:firstLineChars="200"/>
        <w:rPr>
          <w:rFonts w:ascii="仿宋_GB2312" w:eastAsia="仿宋_GB2312"/>
          <w:bCs/>
          <w:color w:val="000000" w:themeColor="text1"/>
          <w:sz w:val="32"/>
          <w:szCs w:val="32"/>
          <w14:textFill>
            <w14:solidFill>
              <w14:schemeClr w14:val="tx1"/>
            </w14:solidFill>
          </w14:textFill>
        </w:rPr>
      </w:pPr>
      <w:r>
        <w:rPr>
          <w:rFonts w:hint="eastAsia" w:ascii="仿宋_GB2312" w:eastAsia="仿宋_GB2312"/>
          <w:bCs/>
          <w:color w:val="000000" w:themeColor="text1"/>
          <w:sz w:val="32"/>
          <w:szCs w:val="32"/>
          <w14:textFill>
            <w14:solidFill>
              <w14:schemeClr w14:val="tx1"/>
            </w14:solidFill>
          </w14:textFill>
        </w:rPr>
        <w:t>表</w:t>
      </w:r>
      <w:r>
        <w:rPr>
          <w:rFonts w:hint="eastAsia" w:ascii="仿宋_GB2312" w:eastAsia="仿宋_GB2312"/>
          <w:bCs/>
          <w:color w:val="000000" w:themeColor="text1"/>
          <w:sz w:val="32"/>
          <w:szCs w:val="32"/>
          <w:lang w:val="en-US" w:eastAsia="zh-CN"/>
          <w14:textFill>
            <w14:solidFill>
              <w14:schemeClr w14:val="tx1"/>
            </w14:solidFill>
          </w14:textFill>
        </w:rPr>
        <w:t xml:space="preserve">2  </w:t>
      </w:r>
      <w:r>
        <w:rPr>
          <w:rFonts w:hint="eastAsia" w:ascii="仿宋_GB2312" w:eastAsia="仿宋_GB2312"/>
          <w:bCs/>
          <w:color w:val="000000" w:themeColor="text1"/>
          <w:sz w:val="32"/>
          <w:szCs w:val="32"/>
          <w14:textFill>
            <w14:solidFill>
              <w14:schemeClr w14:val="tx1"/>
            </w14:solidFill>
          </w14:textFill>
        </w:rPr>
        <w:t>青海柴达木盆地主要盐湖锂资源品位及储量</w:t>
      </w:r>
    </w:p>
    <w:tbl>
      <w:tblPr>
        <w:tblStyle w:val="7"/>
        <w:tblW w:w="0" w:type="auto"/>
        <w:jc w:val="center"/>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572"/>
        <w:gridCol w:w="830"/>
        <w:gridCol w:w="830"/>
        <w:gridCol w:w="805"/>
        <w:gridCol w:w="830"/>
        <w:gridCol w:w="805"/>
        <w:gridCol w:w="830"/>
        <w:gridCol w:w="805"/>
        <w:gridCol w:w="1215"/>
      </w:tblGrid>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8" w:hRule="atLeast"/>
          <w:jc w:val="center"/>
        </w:trPr>
        <w:tc>
          <w:tcPr>
            <w:tcW w:w="1572" w:type="dxa"/>
            <w:vMerge w:val="restart"/>
            <w:vAlign w:val="center"/>
          </w:tcPr>
          <w:p>
            <w:pPr>
              <w:adjustRightInd w:val="0"/>
              <w:spacing w:line="360" w:lineRule="auto"/>
              <w:jc w:val="center"/>
              <w:rPr>
                <w:rFonts w:ascii="仿宋_GB2312" w:hAnsi="Calibri" w:eastAsia="仿宋_GB2312" w:cs="Times New Roman"/>
                <w:bCs/>
                <w:color w:val="000000" w:themeColor="text1"/>
                <w:kern w:val="0"/>
                <w:szCs w:val="21"/>
                <w14:textFill>
                  <w14:solidFill>
                    <w14:schemeClr w14:val="tx1"/>
                  </w14:solidFill>
                </w14:textFill>
              </w:rPr>
            </w:pPr>
            <w:r>
              <w:rPr>
                <w:rFonts w:hint="eastAsia" w:ascii="仿宋_GB2312" w:hAnsi="Calibri" w:eastAsia="仿宋_GB2312" w:cs="Times New Roman"/>
                <w:bCs/>
                <w:color w:val="000000" w:themeColor="text1"/>
                <w:kern w:val="0"/>
                <w:szCs w:val="21"/>
                <w14:textFill>
                  <w14:solidFill>
                    <w14:schemeClr w14:val="tx1"/>
                  </w14:solidFill>
                </w14:textFill>
              </w:rPr>
              <w:t>湖名</w:t>
            </w:r>
          </w:p>
        </w:tc>
        <w:tc>
          <w:tcPr>
            <w:tcW w:w="5735" w:type="dxa"/>
            <w:gridSpan w:val="7"/>
            <w:vAlign w:val="center"/>
          </w:tcPr>
          <w:p>
            <w:pPr>
              <w:adjustRightInd w:val="0"/>
              <w:spacing w:line="360" w:lineRule="auto"/>
              <w:jc w:val="center"/>
              <w:rPr>
                <w:rFonts w:ascii="仿宋_GB2312" w:hAnsi="Calibri" w:eastAsia="仿宋_GB2312" w:cs="Times New Roman"/>
                <w:bCs/>
                <w:color w:val="000000" w:themeColor="text1"/>
                <w:kern w:val="0"/>
                <w:szCs w:val="21"/>
                <w14:textFill>
                  <w14:solidFill>
                    <w14:schemeClr w14:val="tx1"/>
                  </w14:solidFill>
                </w14:textFill>
              </w:rPr>
            </w:pPr>
            <w:r>
              <w:rPr>
                <w:rFonts w:hint="eastAsia" w:ascii="仿宋_GB2312" w:hAnsi="Calibri" w:eastAsia="仿宋_GB2312" w:cs="Times New Roman"/>
                <w:bCs/>
                <w:color w:val="000000" w:themeColor="text1"/>
                <w:kern w:val="0"/>
                <w:szCs w:val="21"/>
                <w14:textFill>
                  <w14:solidFill>
                    <w14:schemeClr w14:val="tx1"/>
                  </w14:solidFill>
                </w14:textFill>
              </w:rPr>
              <w:t>质量分数/%</w:t>
            </w:r>
          </w:p>
        </w:tc>
        <w:tc>
          <w:tcPr>
            <w:tcW w:w="1215" w:type="dxa"/>
            <w:vMerge w:val="restart"/>
            <w:vAlign w:val="center"/>
          </w:tcPr>
          <w:p>
            <w:pPr>
              <w:adjustRightInd w:val="0"/>
              <w:spacing w:line="360" w:lineRule="auto"/>
              <w:jc w:val="center"/>
              <w:rPr>
                <w:rFonts w:ascii="仿宋_GB2312" w:hAnsi="Calibri" w:eastAsia="仿宋_GB2312" w:cs="Times New Roman"/>
                <w:bCs/>
                <w:color w:val="000000" w:themeColor="text1"/>
                <w:kern w:val="0"/>
                <w:szCs w:val="21"/>
                <w14:textFill>
                  <w14:solidFill>
                    <w14:schemeClr w14:val="tx1"/>
                  </w14:solidFill>
                </w14:textFill>
              </w:rPr>
            </w:pPr>
            <w:r>
              <w:rPr>
                <w:rFonts w:hint="eastAsia" w:ascii="仿宋_GB2312" w:hAnsi="Calibri" w:eastAsia="仿宋_GB2312" w:cs="Times New Roman"/>
                <w:bCs/>
                <w:color w:val="000000" w:themeColor="text1"/>
                <w:kern w:val="0"/>
                <w:szCs w:val="21"/>
                <w14:textFill>
                  <w14:solidFill>
                    <w14:schemeClr w14:val="tx1"/>
                  </w14:solidFill>
                </w14:textFill>
              </w:rPr>
              <w:t>LiCl储量/万t</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72" w:type="dxa"/>
            <w:vMerge w:val="continue"/>
            <w:tcBorders>
              <w:bottom w:val="single" w:color="auto" w:sz="4" w:space="0"/>
            </w:tcBorders>
            <w:vAlign w:val="center"/>
          </w:tcPr>
          <w:p>
            <w:pPr>
              <w:adjustRightInd w:val="0"/>
              <w:spacing w:line="360" w:lineRule="auto"/>
              <w:jc w:val="center"/>
              <w:rPr>
                <w:rFonts w:ascii="仿宋_GB2312" w:hAnsi="Calibri" w:eastAsia="仿宋_GB2312" w:cs="Times New Roman"/>
                <w:bCs/>
                <w:color w:val="000000" w:themeColor="text1"/>
                <w:kern w:val="0"/>
                <w:szCs w:val="21"/>
                <w14:textFill>
                  <w14:solidFill>
                    <w14:schemeClr w14:val="tx1"/>
                  </w14:solidFill>
                </w14:textFill>
              </w:rPr>
            </w:pPr>
          </w:p>
        </w:tc>
        <w:tc>
          <w:tcPr>
            <w:tcW w:w="830" w:type="dxa"/>
            <w:tcBorders>
              <w:bottom w:val="single" w:color="auto" w:sz="4" w:space="0"/>
            </w:tcBorders>
            <w:vAlign w:val="center"/>
          </w:tcPr>
          <w:p>
            <w:pPr>
              <w:adjustRightInd w:val="0"/>
              <w:spacing w:line="360" w:lineRule="auto"/>
              <w:jc w:val="center"/>
              <w:rPr>
                <w:rFonts w:ascii="仿宋_GB2312" w:hAnsi="Calibri" w:eastAsia="仿宋_GB2312" w:cs="Times New Roman"/>
                <w:bCs/>
                <w:color w:val="000000" w:themeColor="text1"/>
                <w:kern w:val="0"/>
                <w:szCs w:val="21"/>
                <w14:textFill>
                  <w14:solidFill>
                    <w14:schemeClr w14:val="tx1"/>
                  </w14:solidFill>
                </w14:textFill>
              </w:rPr>
            </w:pPr>
            <w:r>
              <w:rPr>
                <w:rFonts w:hint="eastAsia" w:ascii="仿宋_GB2312" w:hAnsi="Calibri" w:eastAsia="仿宋_GB2312" w:cs="Times New Roman"/>
                <w:bCs/>
                <w:color w:val="000000" w:themeColor="text1"/>
                <w:kern w:val="0"/>
                <w:szCs w:val="21"/>
                <w14:textFill>
                  <w14:solidFill>
                    <w14:schemeClr w14:val="tx1"/>
                  </w14:solidFill>
                </w14:textFill>
              </w:rPr>
              <w:t>Li</w:t>
            </w:r>
            <w:r>
              <w:rPr>
                <w:rFonts w:hint="eastAsia" w:ascii="仿宋_GB2312" w:hAnsi="Calibri" w:eastAsia="仿宋_GB2312" w:cs="Times New Roman"/>
                <w:bCs/>
                <w:color w:val="000000" w:themeColor="text1"/>
                <w:kern w:val="0"/>
                <w:szCs w:val="21"/>
                <w:vertAlign w:val="superscript"/>
                <w14:textFill>
                  <w14:solidFill>
                    <w14:schemeClr w14:val="tx1"/>
                  </w14:solidFill>
                </w14:textFill>
              </w:rPr>
              <w:t>+</w:t>
            </w:r>
          </w:p>
        </w:tc>
        <w:tc>
          <w:tcPr>
            <w:tcW w:w="830" w:type="dxa"/>
            <w:tcBorders>
              <w:bottom w:val="single" w:color="auto" w:sz="4" w:space="0"/>
            </w:tcBorders>
            <w:vAlign w:val="center"/>
          </w:tcPr>
          <w:p>
            <w:pPr>
              <w:adjustRightInd w:val="0"/>
              <w:spacing w:line="360" w:lineRule="auto"/>
              <w:jc w:val="center"/>
              <w:rPr>
                <w:rFonts w:ascii="仿宋_GB2312" w:hAnsi="Calibri" w:eastAsia="仿宋_GB2312" w:cs="Times New Roman"/>
                <w:bCs/>
                <w:color w:val="000000" w:themeColor="text1"/>
                <w:kern w:val="0"/>
                <w:szCs w:val="21"/>
                <w14:textFill>
                  <w14:solidFill>
                    <w14:schemeClr w14:val="tx1"/>
                  </w14:solidFill>
                </w14:textFill>
              </w:rPr>
            </w:pPr>
            <w:r>
              <w:rPr>
                <w:rFonts w:hint="eastAsia" w:ascii="仿宋_GB2312" w:hAnsi="Calibri" w:eastAsia="仿宋_GB2312" w:cs="Times New Roman"/>
                <w:bCs/>
                <w:color w:val="000000" w:themeColor="text1"/>
                <w:kern w:val="0"/>
                <w:szCs w:val="21"/>
                <w14:textFill>
                  <w14:solidFill>
                    <w14:schemeClr w14:val="tx1"/>
                  </w14:solidFill>
                </w14:textFill>
              </w:rPr>
              <w:t>Na</w:t>
            </w:r>
            <w:r>
              <w:rPr>
                <w:rFonts w:hint="eastAsia" w:ascii="仿宋_GB2312" w:hAnsi="Calibri" w:eastAsia="仿宋_GB2312" w:cs="Times New Roman"/>
                <w:bCs/>
                <w:color w:val="000000" w:themeColor="text1"/>
                <w:kern w:val="0"/>
                <w:szCs w:val="21"/>
                <w:vertAlign w:val="superscript"/>
                <w14:textFill>
                  <w14:solidFill>
                    <w14:schemeClr w14:val="tx1"/>
                  </w14:solidFill>
                </w14:textFill>
              </w:rPr>
              <w:t>+</w:t>
            </w:r>
          </w:p>
        </w:tc>
        <w:tc>
          <w:tcPr>
            <w:tcW w:w="805" w:type="dxa"/>
            <w:tcBorders>
              <w:bottom w:val="single" w:color="auto" w:sz="4" w:space="0"/>
            </w:tcBorders>
            <w:vAlign w:val="center"/>
          </w:tcPr>
          <w:p>
            <w:pPr>
              <w:adjustRightInd w:val="0"/>
              <w:spacing w:line="360" w:lineRule="auto"/>
              <w:jc w:val="center"/>
              <w:rPr>
                <w:rFonts w:ascii="仿宋_GB2312" w:hAnsi="Calibri" w:eastAsia="仿宋_GB2312" w:cs="Times New Roman"/>
                <w:bCs/>
                <w:color w:val="000000" w:themeColor="text1"/>
                <w:kern w:val="0"/>
                <w:szCs w:val="21"/>
                <w14:textFill>
                  <w14:solidFill>
                    <w14:schemeClr w14:val="tx1"/>
                  </w14:solidFill>
                </w14:textFill>
              </w:rPr>
            </w:pPr>
            <w:r>
              <w:rPr>
                <w:rFonts w:hint="eastAsia" w:ascii="仿宋_GB2312" w:hAnsi="Calibri" w:eastAsia="仿宋_GB2312" w:cs="Times New Roman"/>
                <w:bCs/>
                <w:color w:val="000000" w:themeColor="text1"/>
                <w:kern w:val="0"/>
                <w:szCs w:val="21"/>
                <w14:textFill>
                  <w14:solidFill>
                    <w14:schemeClr w14:val="tx1"/>
                  </w14:solidFill>
                </w14:textFill>
              </w:rPr>
              <w:t>K</w:t>
            </w:r>
            <w:r>
              <w:rPr>
                <w:rFonts w:hint="eastAsia" w:ascii="仿宋_GB2312" w:hAnsi="Calibri" w:eastAsia="仿宋_GB2312" w:cs="Times New Roman"/>
                <w:bCs/>
                <w:color w:val="000000" w:themeColor="text1"/>
                <w:kern w:val="0"/>
                <w:szCs w:val="21"/>
                <w:vertAlign w:val="superscript"/>
                <w14:textFill>
                  <w14:solidFill>
                    <w14:schemeClr w14:val="tx1"/>
                  </w14:solidFill>
                </w14:textFill>
              </w:rPr>
              <w:t>+</w:t>
            </w:r>
          </w:p>
        </w:tc>
        <w:tc>
          <w:tcPr>
            <w:tcW w:w="830" w:type="dxa"/>
            <w:tcBorders>
              <w:bottom w:val="single" w:color="auto" w:sz="4" w:space="0"/>
            </w:tcBorders>
            <w:vAlign w:val="center"/>
          </w:tcPr>
          <w:p>
            <w:pPr>
              <w:adjustRightInd w:val="0"/>
              <w:spacing w:line="360" w:lineRule="auto"/>
              <w:jc w:val="center"/>
              <w:rPr>
                <w:rFonts w:ascii="仿宋_GB2312" w:hAnsi="Calibri" w:eastAsia="仿宋_GB2312" w:cs="Times New Roman"/>
                <w:bCs/>
                <w:color w:val="000000" w:themeColor="text1"/>
                <w:kern w:val="0"/>
                <w:szCs w:val="21"/>
                <w14:textFill>
                  <w14:solidFill>
                    <w14:schemeClr w14:val="tx1"/>
                  </w14:solidFill>
                </w14:textFill>
              </w:rPr>
            </w:pPr>
            <w:r>
              <w:rPr>
                <w:rFonts w:hint="eastAsia" w:ascii="仿宋_GB2312" w:hAnsi="Calibri" w:eastAsia="仿宋_GB2312" w:cs="Times New Roman"/>
                <w:bCs/>
                <w:color w:val="000000" w:themeColor="text1"/>
                <w:kern w:val="0"/>
                <w:szCs w:val="21"/>
                <w14:textFill>
                  <w14:solidFill>
                    <w14:schemeClr w14:val="tx1"/>
                  </w14:solidFill>
                </w14:textFill>
              </w:rPr>
              <w:t>Ca</w:t>
            </w:r>
            <w:r>
              <w:rPr>
                <w:rFonts w:hint="eastAsia" w:ascii="仿宋_GB2312" w:hAnsi="Calibri" w:eastAsia="仿宋_GB2312" w:cs="Times New Roman"/>
                <w:bCs/>
                <w:color w:val="000000" w:themeColor="text1"/>
                <w:kern w:val="0"/>
                <w:szCs w:val="21"/>
                <w:vertAlign w:val="superscript"/>
                <w14:textFill>
                  <w14:solidFill>
                    <w14:schemeClr w14:val="tx1"/>
                  </w14:solidFill>
                </w14:textFill>
              </w:rPr>
              <w:t>2+</w:t>
            </w:r>
          </w:p>
        </w:tc>
        <w:tc>
          <w:tcPr>
            <w:tcW w:w="805" w:type="dxa"/>
            <w:tcBorders>
              <w:bottom w:val="single" w:color="auto" w:sz="4" w:space="0"/>
            </w:tcBorders>
            <w:vAlign w:val="center"/>
          </w:tcPr>
          <w:p>
            <w:pPr>
              <w:adjustRightInd w:val="0"/>
              <w:spacing w:line="360" w:lineRule="auto"/>
              <w:jc w:val="center"/>
              <w:rPr>
                <w:rFonts w:ascii="仿宋_GB2312" w:hAnsi="Calibri" w:eastAsia="仿宋_GB2312" w:cs="Times New Roman"/>
                <w:bCs/>
                <w:color w:val="000000" w:themeColor="text1"/>
                <w:kern w:val="0"/>
                <w:szCs w:val="21"/>
                <w14:textFill>
                  <w14:solidFill>
                    <w14:schemeClr w14:val="tx1"/>
                  </w14:solidFill>
                </w14:textFill>
              </w:rPr>
            </w:pPr>
            <w:r>
              <w:rPr>
                <w:rFonts w:hint="eastAsia" w:ascii="仿宋_GB2312" w:hAnsi="Calibri" w:eastAsia="仿宋_GB2312" w:cs="Times New Roman"/>
                <w:bCs/>
                <w:color w:val="000000" w:themeColor="text1"/>
                <w:kern w:val="0"/>
                <w:szCs w:val="21"/>
                <w14:textFill>
                  <w14:solidFill>
                    <w14:schemeClr w14:val="tx1"/>
                  </w14:solidFill>
                </w14:textFill>
              </w:rPr>
              <w:t>Mg</w:t>
            </w:r>
            <w:r>
              <w:rPr>
                <w:rFonts w:hint="eastAsia" w:ascii="仿宋_GB2312" w:hAnsi="Calibri" w:eastAsia="仿宋_GB2312" w:cs="Times New Roman"/>
                <w:bCs/>
                <w:color w:val="000000" w:themeColor="text1"/>
                <w:kern w:val="0"/>
                <w:szCs w:val="21"/>
                <w:vertAlign w:val="superscript"/>
                <w14:textFill>
                  <w14:solidFill>
                    <w14:schemeClr w14:val="tx1"/>
                  </w14:solidFill>
                </w14:textFill>
              </w:rPr>
              <w:t>2+</w:t>
            </w:r>
          </w:p>
        </w:tc>
        <w:tc>
          <w:tcPr>
            <w:tcW w:w="830" w:type="dxa"/>
            <w:tcBorders>
              <w:bottom w:val="single" w:color="auto" w:sz="4" w:space="0"/>
            </w:tcBorders>
            <w:vAlign w:val="center"/>
          </w:tcPr>
          <w:p>
            <w:pPr>
              <w:adjustRightInd w:val="0"/>
              <w:spacing w:line="360" w:lineRule="auto"/>
              <w:jc w:val="center"/>
              <w:rPr>
                <w:rFonts w:ascii="仿宋_GB2312" w:hAnsi="Calibri" w:eastAsia="仿宋_GB2312" w:cs="Times New Roman"/>
                <w:bCs/>
                <w:color w:val="000000" w:themeColor="text1"/>
                <w:kern w:val="0"/>
                <w:szCs w:val="21"/>
                <w14:textFill>
                  <w14:solidFill>
                    <w14:schemeClr w14:val="tx1"/>
                  </w14:solidFill>
                </w14:textFill>
              </w:rPr>
            </w:pPr>
            <w:r>
              <w:rPr>
                <w:rFonts w:hint="eastAsia" w:ascii="仿宋_GB2312" w:hAnsi="Calibri" w:eastAsia="仿宋_GB2312" w:cs="Times New Roman"/>
                <w:bCs/>
                <w:color w:val="000000" w:themeColor="text1"/>
                <w:kern w:val="0"/>
                <w:szCs w:val="21"/>
                <w14:textFill>
                  <w14:solidFill>
                    <w14:schemeClr w14:val="tx1"/>
                  </w14:solidFill>
                </w14:textFill>
              </w:rPr>
              <w:t>Cl</w:t>
            </w:r>
            <w:r>
              <w:rPr>
                <w:rFonts w:hint="eastAsia" w:ascii="仿宋_GB2312" w:hAnsi="Calibri" w:eastAsia="仿宋_GB2312" w:cs="Times New Roman"/>
                <w:bCs/>
                <w:color w:val="000000" w:themeColor="text1"/>
                <w:kern w:val="0"/>
                <w:szCs w:val="21"/>
                <w:vertAlign w:val="superscript"/>
                <w14:textFill>
                  <w14:solidFill>
                    <w14:schemeClr w14:val="tx1"/>
                  </w14:solidFill>
                </w14:textFill>
              </w:rPr>
              <w:t>-</w:t>
            </w:r>
          </w:p>
        </w:tc>
        <w:tc>
          <w:tcPr>
            <w:tcW w:w="805" w:type="dxa"/>
            <w:tcBorders>
              <w:bottom w:val="single" w:color="auto" w:sz="4" w:space="0"/>
            </w:tcBorders>
            <w:vAlign w:val="center"/>
          </w:tcPr>
          <w:p>
            <w:pPr>
              <w:adjustRightInd w:val="0"/>
              <w:spacing w:line="360" w:lineRule="auto"/>
              <w:jc w:val="center"/>
              <w:rPr>
                <w:rFonts w:ascii="仿宋_GB2312" w:hAnsi="Calibri" w:eastAsia="仿宋_GB2312" w:cs="Times New Roman"/>
                <w:bCs/>
                <w:color w:val="000000" w:themeColor="text1"/>
                <w:kern w:val="0"/>
                <w:szCs w:val="21"/>
                <w14:textFill>
                  <w14:solidFill>
                    <w14:schemeClr w14:val="tx1"/>
                  </w14:solidFill>
                </w14:textFill>
              </w:rPr>
            </w:pPr>
            <w:r>
              <w:rPr>
                <w:rFonts w:hint="eastAsia" w:ascii="仿宋_GB2312" w:hAnsi="Calibri" w:eastAsia="仿宋_GB2312" w:cs="Times New Roman"/>
                <w:bCs/>
                <w:color w:val="000000" w:themeColor="text1"/>
                <w:kern w:val="0"/>
                <w:szCs w:val="21"/>
                <w14:textFill>
                  <w14:solidFill>
                    <w14:schemeClr w14:val="tx1"/>
                  </w14:solidFill>
                </w14:textFill>
              </w:rPr>
              <w:t>SO</w:t>
            </w:r>
            <w:r>
              <w:rPr>
                <w:rFonts w:hint="eastAsia" w:ascii="仿宋_GB2312" w:hAnsi="Calibri" w:eastAsia="仿宋_GB2312" w:cs="Times New Roman"/>
                <w:bCs/>
                <w:color w:val="000000" w:themeColor="text1"/>
                <w:kern w:val="0"/>
                <w:szCs w:val="21"/>
                <w:vertAlign w:val="subscript"/>
                <w14:textFill>
                  <w14:solidFill>
                    <w14:schemeClr w14:val="tx1"/>
                  </w14:solidFill>
                </w14:textFill>
              </w:rPr>
              <w:t>4</w:t>
            </w:r>
            <w:r>
              <w:rPr>
                <w:rFonts w:hint="eastAsia" w:ascii="仿宋_GB2312" w:hAnsi="Calibri" w:eastAsia="仿宋_GB2312" w:cs="Times New Roman"/>
                <w:bCs/>
                <w:color w:val="000000" w:themeColor="text1"/>
                <w:kern w:val="0"/>
                <w:szCs w:val="21"/>
                <w:vertAlign w:val="superscript"/>
                <w14:textFill>
                  <w14:solidFill>
                    <w14:schemeClr w14:val="tx1"/>
                  </w14:solidFill>
                </w14:textFill>
              </w:rPr>
              <w:t>2-</w:t>
            </w:r>
          </w:p>
        </w:tc>
        <w:tc>
          <w:tcPr>
            <w:tcW w:w="1215" w:type="dxa"/>
            <w:vMerge w:val="continue"/>
            <w:tcBorders>
              <w:bottom w:val="single" w:color="auto" w:sz="4" w:space="0"/>
            </w:tcBorders>
            <w:vAlign w:val="center"/>
          </w:tcPr>
          <w:p>
            <w:pPr>
              <w:adjustRightInd w:val="0"/>
              <w:spacing w:line="360" w:lineRule="auto"/>
              <w:jc w:val="center"/>
              <w:rPr>
                <w:rFonts w:ascii="仿宋_GB2312" w:hAnsi="Calibri" w:eastAsia="仿宋_GB2312" w:cs="Times New Roman"/>
                <w:bCs/>
                <w:color w:val="000000" w:themeColor="text1"/>
                <w:kern w:val="0"/>
                <w:szCs w:val="21"/>
                <w14:textFill>
                  <w14:solidFill>
                    <w14:schemeClr w14:val="tx1"/>
                  </w14:solidFill>
                </w14:textFill>
              </w:rPr>
            </w:pP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72" w:type="dxa"/>
            <w:tcBorders>
              <w:top w:val="single" w:color="auto" w:sz="4" w:space="0"/>
              <w:tl2br w:val="nil"/>
              <w:tr2bl w:val="nil"/>
            </w:tcBorders>
            <w:vAlign w:val="center"/>
          </w:tcPr>
          <w:p>
            <w:pPr>
              <w:adjustRightInd w:val="0"/>
              <w:spacing w:line="360" w:lineRule="auto"/>
              <w:jc w:val="center"/>
              <w:rPr>
                <w:rFonts w:ascii="仿宋_GB2312" w:hAnsi="Calibri" w:eastAsia="仿宋_GB2312" w:cs="Times New Roman"/>
                <w:bCs/>
                <w:color w:val="000000" w:themeColor="text1"/>
                <w:kern w:val="0"/>
                <w:szCs w:val="21"/>
                <w14:textFill>
                  <w14:solidFill>
                    <w14:schemeClr w14:val="tx1"/>
                  </w14:solidFill>
                </w14:textFill>
              </w:rPr>
            </w:pPr>
            <w:r>
              <w:rPr>
                <w:rFonts w:hint="eastAsia" w:ascii="仿宋_GB2312" w:hAnsi="Calibri" w:eastAsia="仿宋_GB2312" w:cs="Times New Roman"/>
                <w:bCs/>
                <w:color w:val="000000" w:themeColor="text1"/>
                <w:kern w:val="0"/>
                <w:szCs w:val="21"/>
                <w14:textFill>
                  <w14:solidFill>
                    <w14:schemeClr w14:val="tx1"/>
                  </w14:solidFill>
                </w14:textFill>
              </w:rPr>
              <w:t>察尔汗</w:t>
            </w:r>
          </w:p>
        </w:tc>
        <w:tc>
          <w:tcPr>
            <w:tcW w:w="830" w:type="dxa"/>
            <w:tcBorders>
              <w:top w:val="single" w:color="auto" w:sz="4" w:space="0"/>
              <w:tl2br w:val="nil"/>
              <w:tr2bl w:val="nil"/>
            </w:tcBorders>
            <w:vAlign w:val="center"/>
          </w:tcPr>
          <w:p>
            <w:pPr>
              <w:adjustRightInd w:val="0"/>
              <w:spacing w:line="360" w:lineRule="auto"/>
              <w:jc w:val="center"/>
              <w:rPr>
                <w:rFonts w:ascii="仿宋_GB2312" w:hAnsi="Calibri" w:eastAsia="仿宋_GB2312" w:cs="Times New Roman"/>
                <w:bCs/>
                <w:color w:val="000000" w:themeColor="text1"/>
                <w:kern w:val="0"/>
                <w:szCs w:val="21"/>
                <w14:textFill>
                  <w14:solidFill>
                    <w14:schemeClr w14:val="tx1"/>
                  </w14:solidFill>
                </w14:textFill>
              </w:rPr>
            </w:pPr>
            <w:r>
              <w:rPr>
                <w:rFonts w:hint="eastAsia" w:ascii="仿宋_GB2312" w:hAnsi="Calibri" w:eastAsia="仿宋_GB2312" w:cs="Times New Roman"/>
                <w:bCs/>
                <w:color w:val="000000" w:themeColor="text1"/>
                <w:kern w:val="0"/>
                <w:szCs w:val="21"/>
                <w14:textFill>
                  <w14:solidFill>
                    <w14:schemeClr w14:val="tx1"/>
                  </w14:solidFill>
                </w14:textFill>
              </w:rPr>
              <w:t>0.003</w:t>
            </w:r>
          </w:p>
        </w:tc>
        <w:tc>
          <w:tcPr>
            <w:tcW w:w="830" w:type="dxa"/>
            <w:tcBorders>
              <w:top w:val="single" w:color="auto" w:sz="4" w:space="0"/>
              <w:tl2br w:val="nil"/>
              <w:tr2bl w:val="nil"/>
            </w:tcBorders>
            <w:vAlign w:val="center"/>
          </w:tcPr>
          <w:p>
            <w:pPr>
              <w:adjustRightInd w:val="0"/>
              <w:spacing w:line="360" w:lineRule="auto"/>
              <w:jc w:val="center"/>
              <w:rPr>
                <w:rFonts w:ascii="仿宋_GB2312" w:hAnsi="Calibri" w:eastAsia="仿宋_GB2312" w:cs="Times New Roman"/>
                <w:bCs/>
                <w:color w:val="000000" w:themeColor="text1"/>
                <w:kern w:val="0"/>
                <w:szCs w:val="21"/>
                <w14:textFill>
                  <w14:solidFill>
                    <w14:schemeClr w14:val="tx1"/>
                  </w14:solidFill>
                </w14:textFill>
              </w:rPr>
            </w:pPr>
            <w:r>
              <w:rPr>
                <w:rFonts w:hint="eastAsia" w:ascii="仿宋_GB2312" w:hAnsi="Calibri" w:eastAsia="仿宋_GB2312" w:cs="Times New Roman"/>
                <w:bCs/>
                <w:color w:val="000000" w:themeColor="text1"/>
                <w:kern w:val="0"/>
                <w:szCs w:val="21"/>
                <w14:textFill>
                  <w14:solidFill>
                    <w14:schemeClr w14:val="tx1"/>
                  </w14:solidFill>
                </w14:textFill>
              </w:rPr>
              <w:t>5.90</w:t>
            </w:r>
          </w:p>
        </w:tc>
        <w:tc>
          <w:tcPr>
            <w:tcW w:w="805" w:type="dxa"/>
            <w:tcBorders>
              <w:top w:val="single" w:color="auto" w:sz="4" w:space="0"/>
              <w:tl2br w:val="nil"/>
              <w:tr2bl w:val="nil"/>
            </w:tcBorders>
            <w:vAlign w:val="center"/>
          </w:tcPr>
          <w:p>
            <w:pPr>
              <w:adjustRightInd w:val="0"/>
              <w:spacing w:line="360" w:lineRule="auto"/>
              <w:jc w:val="center"/>
              <w:rPr>
                <w:rFonts w:ascii="仿宋_GB2312" w:hAnsi="Calibri" w:eastAsia="仿宋_GB2312" w:cs="Times New Roman"/>
                <w:bCs/>
                <w:color w:val="000000" w:themeColor="text1"/>
                <w:kern w:val="0"/>
                <w:szCs w:val="21"/>
                <w14:textFill>
                  <w14:solidFill>
                    <w14:schemeClr w14:val="tx1"/>
                  </w14:solidFill>
                </w14:textFill>
              </w:rPr>
            </w:pPr>
            <w:r>
              <w:rPr>
                <w:rFonts w:hint="eastAsia" w:ascii="仿宋_GB2312" w:hAnsi="Calibri" w:eastAsia="仿宋_GB2312" w:cs="Times New Roman"/>
                <w:bCs/>
                <w:color w:val="000000" w:themeColor="text1"/>
                <w:kern w:val="0"/>
                <w:szCs w:val="21"/>
                <w14:textFill>
                  <w14:solidFill>
                    <w14:schemeClr w14:val="tx1"/>
                  </w14:solidFill>
                </w14:textFill>
              </w:rPr>
              <w:t>1.00</w:t>
            </w:r>
          </w:p>
        </w:tc>
        <w:tc>
          <w:tcPr>
            <w:tcW w:w="830" w:type="dxa"/>
            <w:tcBorders>
              <w:top w:val="single" w:color="auto" w:sz="4" w:space="0"/>
              <w:tl2br w:val="nil"/>
              <w:tr2bl w:val="nil"/>
            </w:tcBorders>
            <w:vAlign w:val="center"/>
          </w:tcPr>
          <w:p>
            <w:pPr>
              <w:adjustRightInd w:val="0"/>
              <w:spacing w:line="360" w:lineRule="auto"/>
              <w:jc w:val="center"/>
              <w:rPr>
                <w:rFonts w:ascii="仿宋_GB2312" w:hAnsi="Calibri" w:eastAsia="仿宋_GB2312" w:cs="Times New Roman"/>
                <w:bCs/>
                <w:color w:val="000000" w:themeColor="text1"/>
                <w:kern w:val="0"/>
                <w:szCs w:val="21"/>
                <w14:textFill>
                  <w14:solidFill>
                    <w14:schemeClr w14:val="tx1"/>
                  </w14:solidFill>
                </w14:textFill>
              </w:rPr>
            </w:pPr>
            <w:r>
              <w:rPr>
                <w:rFonts w:hint="eastAsia" w:ascii="仿宋_GB2312" w:hAnsi="Calibri" w:eastAsia="仿宋_GB2312" w:cs="Times New Roman"/>
                <w:bCs/>
                <w:color w:val="000000" w:themeColor="text1"/>
                <w:kern w:val="0"/>
                <w:szCs w:val="21"/>
                <w14:textFill>
                  <w14:solidFill>
                    <w14:schemeClr w14:val="tx1"/>
                  </w14:solidFill>
                </w14:textFill>
              </w:rPr>
              <w:t>0.084</w:t>
            </w:r>
          </w:p>
        </w:tc>
        <w:tc>
          <w:tcPr>
            <w:tcW w:w="805" w:type="dxa"/>
            <w:tcBorders>
              <w:top w:val="single" w:color="auto" w:sz="4" w:space="0"/>
              <w:tl2br w:val="nil"/>
              <w:tr2bl w:val="nil"/>
            </w:tcBorders>
            <w:vAlign w:val="center"/>
          </w:tcPr>
          <w:p>
            <w:pPr>
              <w:adjustRightInd w:val="0"/>
              <w:spacing w:line="360" w:lineRule="auto"/>
              <w:jc w:val="center"/>
              <w:rPr>
                <w:rFonts w:ascii="仿宋_GB2312" w:hAnsi="Calibri" w:eastAsia="仿宋_GB2312" w:cs="Times New Roman"/>
                <w:bCs/>
                <w:color w:val="000000" w:themeColor="text1"/>
                <w:kern w:val="0"/>
                <w:szCs w:val="21"/>
                <w14:textFill>
                  <w14:solidFill>
                    <w14:schemeClr w14:val="tx1"/>
                  </w14:solidFill>
                </w14:textFill>
              </w:rPr>
            </w:pPr>
            <w:r>
              <w:rPr>
                <w:rFonts w:hint="eastAsia" w:ascii="仿宋_GB2312" w:hAnsi="Calibri" w:eastAsia="仿宋_GB2312" w:cs="Times New Roman"/>
                <w:bCs/>
                <w:color w:val="000000" w:themeColor="text1"/>
                <w:kern w:val="0"/>
                <w:szCs w:val="21"/>
                <w14:textFill>
                  <w14:solidFill>
                    <w14:schemeClr w14:val="tx1"/>
                  </w14:solidFill>
                </w14:textFill>
              </w:rPr>
              <w:t>2.37</w:t>
            </w:r>
          </w:p>
        </w:tc>
        <w:tc>
          <w:tcPr>
            <w:tcW w:w="830" w:type="dxa"/>
            <w:tcBorders>
              <w:top w:val="single" w:color="auto" w:sz="4" w:space="0"/>
              <w:tl2br w:val="nil"/>
              <w:tr2bl w:val="nil"/>
            </w:tcBorders>
            <w:vAlign w:val="center"/>
          </w:tcPr>
          <w:p>
            <w:pPr>
              <w:adjustRightInd w:val="0"/>
              <w:spacing w:line="360" w:lineRule="auto"/>
              <w:jc w:val="center"/>
              <w:rPr>
                <w:rFonts w:ascii="仿宋_GB2312" w:hAnsi="Calibri" w:eastAsia="仿宋_GB2312" w:cs="Times New Roman"/>
                <w:bCs/>
                <w:color w:val="000000" w:themeColor="text1"/>
                <w:kern w:val="0"/>
                <w:szCs w:val="21"/>
                <w14:textFill>
                  <w14:solidFill>
                    <w14:schemeClr w14:val="tx1"/>
                  </w14:solidFill>
                </w14:textFill>
              </w:rPr>
            </w:pPr>
            <w:r>
              <w:rPr>
                <w:rFonts w:hint="eastAsia" w:ascii="仿宋_GB2312" w:hAnsi="Calibri" w:eastAsia="仿宋_GB2312" w:cs="Times New Roman"/>
                <w:bCs/>
                <w:color w:val="000000" w:themeColor="text1"/>
                <w:kern w:val="0"/>
                <w:szCs w:val="21"/>
                <w14:textFill>
                  <w14:solidFill>
                    <w14:schemeClr w14:val="tx1"/>
                  </w14:solidFill>
                </w14:textFill>
              </w:rPr>
              <w:t>16.67</w:t>
            </w:r>
          </w:p>
        </w:tc>
        <w:tc>
          <w:tcPr>
            <w:tcW w:w="805" w:type="dxa"/>
            <w:tcBorders>
              <w:top w:val="single" w:color="auto" w:sz="4" w:space="0"/>
              <w:tl2br w:val="nil"/>
              <w:tr2bl w:val="nil"/>
            </w:tcBorders>
            <w:vAlign w:val="center"/>
          </w:tcPr>
          <w:p>
            <w:pPr>
              <w:adjustRightInd w:val="0"/>
              <w:spacing w:line="360" w:lineRule="auto"/>
              <w:jc w:val="center"/>
              <w:rPr>
                <w:rFonts w:ascii="仿宋_GB2312" w:hAnsi="Calibri" w:eastAsia="仿宋_GB2312" w:cs="Times New Roman"/>
                <w:bCs/>
                <w:color w:val="000000" w:themeColor="text1"/>
                <w:kern w:val="0"/>
                <w:szCs w:val="21"/>
                <w14:textFill>
                  <w14:solidFill>
                    <w14:schemeClr w14:val="tx1"/>
                  </w14:solidFill>
                </w14:textFill>
              </w:rPr>
            </w:pPr>
            <w:r>
              <w:rPr>
                <w:rFonts w:hint="eastAsia" w:ascii="仿宋_GB2312" w:hAnsi="Calibri" w:eastAsia="仿宋_GB2312" w:cs="Times New Roman"/>
                <w:bCs/>
                <w:color w:val="000000" w:themeColor="text1"/>
                <w:kern w:val="0"/>
                <w:szCs w:val="21"/>
                <w14:textFill>
                  <w14:solidFill>
                    <w14:schemeClr w14:val="tx1"/>
                  </w14:solidFill>
                </w14:textFill>
              </w:rPr>
              <w:t>0.53</w:t>
            </w:r>
          </w:p>
        </w:tc>
        <w:tc>
          <w:tcPr>
            <w:tcW w:w="1215" w:type="dxa"/>
            <w:tcBorders>
              <w:top w:val="single" w:color="auto" w:sz="4" w:space="0"/>
              <w:tl2br w:val="nil"/>
              <w:tr2bl w:val="nil"/>
            </w:tcBorders>
            <w:vAlign w:val="center"/>
          </w:tcPr>
          <w:p>
            <w:pPr>
              <w:adjustRightInd w:val="0"/>
              <w:spacing w:line="360" w:lineRule="auto"/>
              <w:jc w:val="center"/>
              <w:rPr>
                <w:rFonts w:ascii="仿宋_GB2312" w:hAnsi="Calibri" w:eastAsia="仿宋_GB2312" w:cs="Times New Roman"/>
                <w:bCs/>
                <w:color w:val="000000" w:themeColor="text1"/>
                <w:kern w:val="0"/>
                <w:szCs w:val="21"/>
                <w14:textFill>
                  <w14:solidFill>
                    <w14:schemeClr w14:val="tx1"/>
                  </w14:solidFill>
                </w14:textFill>
              </w:rPr>
            </w:pPr>
            <w:r>
              <w:rPr>
                <w:rFonts w:hint="eastAsia" w:ascii="仿宋_GB2312" w:hAnsi="Calibri" w:eastAsia="仿宋_GB2312" w:cs="Times New Roman"/>
                <w:bCs/>
                <w:color w:val="000000" w:themeColor="text1"/>
                <w:kern w:val="0"/>
                <w:szCs w:val="21"/>
                <w14:textFill>
                  <w14:solidFill>
                    <w14:schemeClr w14:val="tx1"/>
                  </w14:solidFill>
                </w14:textFill>
              </w:rPr>
              <w:t>995.0</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72" w:type="dxa"/>
            <w:tcBorders>
              <w:tl2br w:val="nil"/>
              <w:tr2bl w:val="nil"/>
            </w:tcBorders>
            <w:vAlign w:val="center"/>
          </w:tcPr>
          <w:p>
            <w:pPr>
              <w:adjustRightInd w:val="0"/>
              <w:spacing w:line="360" w:lineRule="auto"/>
              <w:jc w:val="center"/>
              <w:rPr>
                <w:rFonts w:ascii="仿宋_GB2312" w:hAnsi="Calibri" w:eastAsia="仿宋_GB2312" w:cs="Times New Roman"/>
                <w:bCs/>
                <w:color w:val="000000" w:themeColor="text1"/>
                <w:kern w:val="0"/>
                <w:szCs w:val="21"/>
                <w14:textFill>
                  <w14:solidFill>
                    <w14:schemeClr w14:val="tx1"/>
                  </w14:solidFill>
                </w14:textFill>
              </w:rPr>
            </w:pPr>
            <w:r>
              <w:rPr>
                <w:rFonts w:hint="eastAsia" w:ascii="仿宋_GB2312" w:hAnsi="Calibri" w:eastAsia="仿宋_GB2312" w:cs="Times New Roman"/>
                <w:bCs/>
                <w:color w:val="000000" w:themeColor="text1"/>
                <w:kern w:val="0"/>
                <w:szCs w:val="21"/>
                <w14:textFill>
                  <w14:solidFill>
                    <w14:schemeClr w14:val="tx1"/>
                  </w14:solidFill>
                </w14:textFill>
              </w:rPr>
              <w:t>东台吉乃尔</w:t>
            </w:r>
          </w:p>
        </w:tc>
        <w:tc>
          <w:tcPr>
            <w:tcW w:w="830" w:type="dxa"/>
            <w:tcBorders>
              <w:tl2br w:val="nil"/>
              <w:tr2bl w:val="nil"/>
            </w:tcBorders>
            <w:vAlign w:val="center"/>
          </w:tcPr>
          <w:p>
            <w:pPr>
              <w:adjustRightInd w:val="0"/>
              <w:spacing w:line="360" w:lineRule="auto"/>
              <w:jc w:val="center"/>
              <w:rPr>
                <w:rFonts w:ascii="仿宋_GB2312" w:hAnsi="Calibri" w:eastAsia="仿宋_GB2312" w:cs="Times New Roman"/>
                <w:bCs/>
                <w:color w:val="000000" w:themeColor="text1"/>
                <w:kern w:val="0"/>
                <w:szCs w:val="21"/>
                <w14:textFill>
                  <w14:solidFill>
                    <w14:schemeClr w14:val="tx1"/>
                  </w14:solidFill>
                </w14:textFill>
              </w:rPr>
            </w:pPr>
            <w:r>
              <w:rPr>
                <w:rFonts w:hint="eastAsia" w:ascii="仿宋_GB2312" w:hAnsi="Calibri" w:eastAsia="仿宋_GB2312" w:cs="Times New Roman"/>
                <w:bCs/>
                <w:color w:val="000000" w:themeColor="text1"/>
                <w:kern w:val="0"/>
                <w:szCs w:val="21"/>
                <w14:textFill>
                  <w14:solidFill>
                    <w14:schemeClr w14:val="tx1"/>
                  </w14:solidFill>
                </w14:textFill>
              </w:rPr>
              <w:t>0.85</w:t>
            </w:r>
          </w:p>
        </w:tc>
        <w:tc>
          <w:tcPr>
            <w:tcW w:w="830" w:type="dxa"/>
            <w:tcBorders>
              <w:tl2br w:val="nil"/>
              <w:tr2bl w:val="nil"/>
            </w:tcBorders>
            <w:vAlign w:val="center"/>
          </w:tcPr>
          <w:p>
            <w:pPr>
              <w:adjustRightInd w:val="0"/>
              <w:spacing w:line="360" w:lineRule="auto"/>
              <w:jc w:val="center"/>
              <w:rPr>
                <w:rFonts w:ascii="仿宋_GB2312" w:hAnsi="Calibri" w:eastAsia="仿宋_GB2312" w:cs="Times New Roman"/>
                <w:bCs/>
                <w:color w:val="000000" w:themeColor="text1"/>
                <w:kern w:val="0"/>
                <w:szCs w:val="21"/>
                <w14:textFill>
                  <w14:solidFill>
                    <w14:schemeClr w14:val="tx1"/>
                  </w14:solidFill>
                </w14:textFill>
              </w:rPr>
            </w:pPr>
            <w:r>
              <w:rPr>
                <w:rFonts w:hint="eastAsia" w:ascii="仿宋_GB2312" w:hAnsi="Calibri" w:eastAsia="仿宋_GB2312" w:cs="Times New Roman"/>
                <w:bCs/>
                <w:color w:val="000000" w:themeColor="text1"/>
                <w:kern w:val="0"/>
                <w:szCs w:val="21"/>
                <w14:textFill>
                  <w14:solidFill>
                    <w14:schemeClr w14:val="tx1"/>
                  </w14:solidFill>
                </w14:textFill>
              </w:rPr>
              <w:t>5.13</w:t>
            </w:r>
          </w:p>
        </w:tc>
        <w:tc>
          <w:tcPr>
            <w:tcW w:w="805" w:type="dxa"/>
            <w:tcBorders>
              <w:tl2br w:val="nil"/>
              <w:tr2bl w:val="nil"/>
            </w:tcBorders>
            <w:vAlign w:val="center"/>
          </w:tcPr>
          <w:p>
            <w:pPr>
              <w:adjustRightInd w:val="0"/>
              <w:spacing w:line="360" w:lineRule="auto"/>
              <w:jc w:val="center"/>
              <w:rPr>
                <w:rFonts w:ascii="仿宋_GB2312" w:hAnsi="Calibri" w:eastAsia="仿宋_GB2312" w:cs="Times New Roman"/>
                <w:bCs/>
                <w:color w:val="000000" w:themeColor="text1"/>
                <w:kern w:val="0"/>
                <w:szCs w:val="21"/>
                <w14:textFill>
                  <w14:solidFill>
                    <w14:schemeClr w14:val="tx1"/>
                  </w14:solidFill>
                </w14:textFill>
              </w:rPr>
            </w:pPr>
            <w:r>
              <w:rPr>
                <w:rFonts w:hint="eastAsia" w:ascii="仿宋_GB2312" w:hAnsi="Calibri" w:eastAsia="仿宋_GB2312" w:cs="Times New Roman"/>
                <w:bCs/>
                <w:color w:val="000000" w:themeColor="text1"/>
                <w:kern w:val="0"/>
                <w:szCs w:val="21"/>
                <w14:textFill>
                  <w14:solidFill>
                    <w14:schemeClr w14:val="tx1"/>
                  </w14:solidFill>
                </w14:textFill>
              </w:rPr>
              <w:t>1.47</w:t>
            </w:r>
          </w:p>
        </w:tc>
        <w:tc>
          <w:tcPr>
            <w:tcW w:w="830" w:type="dxa"/>
            <w:tcBorders>
              <w:tl2br w:val="nil"/>
              <w:tr2bl w:val="nil"/>
            </w:tcBorders>
            <w:vAlign w:val="center"/>
          </w:tcPr>
          <w:p>
            <w:pPr>
              <w:adjustRightInd w:val="0"/>
              <w:spacing w:line="360" w:lineRule="auto"/>
              <w:jc w:val="center"/>
              <w:rPr>
                <w:rFonts w:ascii="仿宋_GB2312" w:hAnsi="Calibri" w:eastAsia="仿宋_GB2312" w:cs="Times New Roman"/>
                <w:bCs/>
                <w:color w:val="000000" w:themeColor="text1"/>
                <w:kern w:val="0"/>
                <w:szCs w:val="21"/>
                <w14:textFill>
                  <w14:solidFill>
                    <w14:schemeClr w14:val="tx1"/>
                  </w14:solidFill>
                </w14:textFill>
              </w:rPr>
            </w:pPr>
            <w:r>
              <w:rPr>
                <w:rFonts w:hint="eastAsia" w:ascii="仿宋_GB2312" w:hAnsi="Calibri" w:eastAsia="仿宋_GB2312" w:cs="Times New Roman"/>
                <w:bCs/>
                <w:color w:val="000000" w:themeColor="text1"/>
                <w:kern w:val="0"/>
                <w:szCs w:val="21"/>
                <w14:textFill>
                  <w14:solidFill>
                    <w14:schemeClr w14:val="tx1"/>
                  </w14:solidFill>
                </w14:textFill>
              </w:rPr>
              <w:t>0.020</w:t>
            </w:r>
          </w:p>
        </w:tc>
        <w:tc>
          <w:tcPr>
            <w:tcW w:w="805" w:type="dxa"/>
            <w:tcBorders>
              <w:tl2br w:val="nil"/>
              <w:tr2bl w:val="nil"/>
            </w:tcBorders>
            <w:vAlign w:val="center"/>
          </w:tcPr>
          <w:p>
            <w:pPr>
              <w:adjustRightInd w:val="0"/>
              <w:spacing w:line="360" w:lineRule="auto"/>
              <w:jc w:val="center"/>
              <w:rPr>
                <w:rFonts w:ascii="仿宋_GB2312" w:hAnsi="Calibri" w:eastAsia="仿宋_GB2312" w:cs="Times New Roman"/>
                <w:bCs/>
                <w:color w:val="000000" w:themeColor="text1"/>
                <w:kern w:val="0"/>
                <w:szCs w:val="21"/>
                <w14:textFill>
                  <w14:solidFill>
                    <w14:schemeClr w14:val="tx1"/>
                  </w14:solidFill>
                </w14:textFill>
              </w:rPr>
            </w:pPr>
            <w:r>
              <w:rPr>
                <w:rFonts w:hint="eastAsia" w:ascii="仿宋_GB2312" w:hAnsi="Calibri" w:eastAsia="仿宋_GB2312" w:cs="Times New Roman"/>
                <w:bCs/>
                <w:color w:val="000000" w:themeColor="text1"/>
                <w:kern w:val="0"/>
                <w:szCs w:val="21"/>
                <w14:textFill>
                  <w14:solidFill>
                    <w14:schemeClr w14:val="tx1"/>
                  </w14:solidFill>
                </w14:textFill>
              </w:rPr>
              <w:t>2.99</w:t>
            </w:r>
          </w:p>
        </w:tc>
        <w:tc>
          <w:tcPr>
            <w:tcW w:w="830" w:type="dxa"/>
            <w:tcBorders>
              <w:tl2br w:val="nil"/>
              <w:tr2bl w:val="nil"/>
            </w:tcBorders>
            <w:vAlign w:val="center"/>
          </w:tcPr>
          <w:p>
            <w:pPr>
              <w:adjustRightInd w:val="0"/>
              <w:spacing w:line="360" w:lineRule="auto"/>
              <w:jc w:val="center"/>
              <w:rPr>
                <w:rFonts w:ascii="仿宋_GB2312" w:hAnsi="Calibri" w:eastAsia="仿宋_GB2312" w:cs="Times New Roman"/>
                <w:bCs/>
                <w:color w:val="000000" w:themeColor="text1"/>
                <w:kern w:val="0"/>
                <w:szCs w:val="21"/>
                <w14:textFill>
                  <w14:solidFill>
                    <w14:schemeClr w14:val="tx1"/>
                  </w14:solidFill>
                </w14:textFill>
              </w:rPr>
            </w:pPr>
            <w:r>
              <w:rPr>
                <w:rFonts w:hint="eastAsia" w:ascii="仿宋_GB2312" w:hAnsi="Calibri" w:eastAsia="仿宋_GB2312" w:cs="Times New Roman"/>
                <w:bCs/>
                <w:color w:val="000000" w:themeColor="text1"/>
                <w:kern w:val="0"/>
                <w:szCs w:val="21"/>
                <w14:textFill>
                  <w14:solidFill>
                    <w14:schemeClr w14:val="tx1"/>
                  </w14:solidFill>
                </w14:textFill>
              </w:rPr>
              <w:t>14.95</w:t>
            </w:r>
          </w:p>
        </w:tc>
        <w:tc>
          <w:tcPr>
            <w:tcW w:w="805" w:type="dxa"/>
            <w:tcBorders>
              <w:tl2br w:val="nil"/>
              <w:tr2bl w:val="nil"/>
            </w:tcBorders>
            <w:vAlign w:val="center"/>
          </w:tcPr>
          <w:p>
            <w:pPr>
              <w:adjustRightInd w:val="0"/>
              <w:spacing w:line="360" w:lineRule="auto"/>
              <w:jc w:val="center"/>
              <w:rPr>
                <w:rFonts w:ascii="仿宋_GB2312" w:hAnsi="Calibri" w:eastAsia="仿宋_GB2312" w:cs="Times New Roman"/>
                <w:bCs/>
                <w:color w:val="000000" w:themeColor="text1"/>
                <w:kern w:val="0"/>
                <w:szCs w:val="21"/>
                <w14:textFill>
                  <w14:solidFill>
                    <w14:schemeClr w14:val="tx1"/>
                  </w14:solidFill>
                </w14:textFill>
              </w:rPr>
            </w:pPr>
            <w:r>
              <w:rPr>
                <w:rFonts w:hint="eastAsia" w:ascii="仿宋_GB2312" w:hAnsi="Calibri" w:eastAsia="仿宋_GB2312" w:cs="Times New Roman"/>
                <w:bCs/>
                <w:color w:val="000000" w:themeColor="text1"/>
                <w:kern w:val="0"/>
                <w:szCs w:val="21"/>
                <w14:textFill>
                  <w14:solidFill>
                    <w14:schemeClr w14:val="tx1"/>
                  </w14:solidFill>
                </w14:textFill>
              </w:rPr>
              <w:t>4.78</w:t>
            </w:r>
          </w:p>
        </w:tc>
        <w:tc>
          <w:tcPr>
            <w:tcW w:w="1215" w:type="dxa"/>
            <w:tcBorders>
              <w:tl2br w:val="nil"/>
              <w:tr2bl w:val="nil"/>
            </w:tcBorders>
            <w:vAlign w:val="center"/>
          </w:tcPr>
          <w:p>
            <w:pPr>
              <w:adjustRightInd w:val="0"/>
              <w:spacing w:line="360" w:lineRule="auto"/>
              <w:jc w:val="center"/>
              <w:rPr>
                <w:rFonts w:ascii="仿宋_GB2312" w:hAnsi="Calibri" w:eastAsia="仿宋_GB2312" w:cs="Times New Roman"/>
                <w:bCs/>
                <w:color w:val="000000" w:themeColor="text1"/>
                <w:kern w:val="0"/>
                <w:szCs w:val="21"/>
                <w14:textFill>
                  <w14:solidFill>
                    <w14:schemeClr w14:val="tx1"/>
                  </w14:solidFill>
                </w14:textFill>
              </w:rPr>
            </w:pPr>
            <w:r>
              <w:rPr>
                <w:rFonts w:hint="eastAsia" w:ascii="仿宋_GB2312" w:hAnsi="Calibri" w:eastAsia="仿宋_GB2312" w:cs="Times New Roman"/>
                <w:bCs/>
                <w:color w:val="000000" w:themeColor="text1"/>
                <w:kern w:val="0"/>
                <w:szCs w:val="21"/>
                <w14:textFill>
                  <w14:solidFill>
                    <w14:schemeClr w14:val="tx1"/>
                  </w14:solidFill>
                </w14:textFill>
              </w:rPr>
              <w:t>55.3</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72" w:type="dxa"/>
            <w:tcBorders>
              <w:tl2br w:val="nil"/>
              <w:tr2bl w:val="nil"/>
            </w:tcBorders>
            <w:vAlign w:val="center"/>
          </w:tcPr>
          <w:p>
            <w:pPr>
              <w:adjustRightInd w:val="0"/>
              <w:spacing w:line="360" w:lineRule="auto"/>
              <w:jc w:val="center"/>
              <w:rPr>
                <w:rFonts w:ascii="仿宋_GB2312" w:hAnsi="Calibri" w:eastAsia="仿宋_GB2312" w:cs="Times New Roman"/>
                <w:bCs/>
                <w:color w:val="000000" w:themeColor="text1"/>
                <w:kern w:val="0"/>
                <w:szCs w:val="21"/>
                <w14:textFill>
                  <w14:solidFill>
                    <w14:schemeClr w14:val="tx1"/>
                  </w14:solidFill>
                </w14:textFill>
              </w:rPr>
            </w:pPr>
            <w:r>
              <w:rPr>
                <w:rFonts w:hint="eastAsia" w:ascii="仿宋_GB2312" w:hAnsi="Calibri" w:eastAsia="仿宋_GB2312" w:cs="Times New Roman"/>
                <w:bCs/>
                <w:color w:val="000000" w:themeColor="text1"/>
                <w:kern w:val="0"/>
                <w:szCs w:val="21"/>
                <w14:textFill>
                  <w14:solidFill>
                    <w14:schemeClr w14:val="tx1"/>
                  </w14:solidFill>
                </w14:textFill>
              </w:rPr>
              <w:t>西台吉乃尔</w:t>
            </w:r>
          </w:p>
        </w:tc>
        <w:tc>
          <w:tcPr>
            <w:tcW w:w="830" w:type="dxa"/>
            <w:tcBorders>
              <w:tl2br w:val="nil"/>
              <w:tr2bl w:val="nil"/>
            </w:tcBorders>
            <w:vAlign w:val="center"/>
          </w:tcPr>
          <w:p>
            <w:pPr>
              <w:adjustRightInd w:val="0"/>
              <w:spacing w:line="360" w:lineRule="auto"/>
              <w:jc w:val="center"/>
              <w:rPr>
                <w:rFonts w:ascii="仿宋_GB2312" w:hAnsi="Calibri" w:eastAsia="仿宋_GB2312" w:cs="Times New Roman"/>
                <w:bCs/>
                <w:color w:val="000000" w:themeColor="text1"/>
                <w:kern w:val="0"/>
                <w:szCs w:val="21"/>
                <w14:textFill>
                  <w14:solidFill>
                    <w14:schemeClr w14:val="tx1"/>
                  </w14:solidFill>
                </w14:textFill>
              </w:rPr>
            </w:pPr>
            <w:r>
              <w:rPr>
                <w:rFonts w:hint="eastAsia" w:ascii="仿宋_GB2312" w:hAnsi="Calibri" w:eastAsia="仿宋_GB2312" w:cs="Times New Roman"/>
                <w:bCs/>
                <w:color w:val="000000" w:themeColor="text1"/>
                <w:kern w:val="0"/>
                <w:szCs w:val="21"/>
                <w14:textFill>
                  <w14:solidFill>
                    <w14:schemeClr w14:val="tx1"/>
                  </w14:solidFill>
                </w14:textFill>
              </w:rPr>
              <w:t>0.022</w:t>
            </w:r>
          </w:p>
        </w:tc>
        <w:tc>
          <w:tcPr>
            <w:tcW w:w="830" w:type="dxa"/>
            <w:tcBorders>
              <w:tl2br w:val="nil"/>
              <w:tr2bl w:val="nil"/>
            </w:tcBorders>
            <w:vAlign w:val="center"/>
          </w:tcPr>
          <w:p>
            <w:pPr>
              <w:adjustRightInd w:val="0"/>
              <w:spacing w:line="360" w:lineRule="auto"/>
              <w:jc w:val="center"/>
              <w:rPr>
                <w:rFonts w:ascii="仿宋_GB2312" w:hAnsi="Calibri" w:eastAsia="仿宋_GB2312" w:cs="Times New Roman"/>
                <w:bCs/>
                <w:color w:val="000000" w:themeColor="text1"/>
                <w:kern w:val="0"/>
                <w:szCs w:val="21"/>
                <w14:textFill>
                  <w14:solidFill>
                    <w14:schemeClr w14:val="tx1"/>
                  </w14:solidFill>
                </w14:textFill>
              </w:rPr>
            </w:pPr>
            <w:r>
              <w:rPr>
                <w:rFonts w:hint="eastAsia" w:ascii="仿宋_GB2312" w:hAnsi="Calibri" w:eastAsia="仿宋_GB2312" w:cs="Times New Roman"/>
                <w:bCs/>
                <w:color w:val="000000" w:themeColor="text1"/>
                <w:kern w:val="0"/>
                <w:szCs w:val="21"/>
                <w14:textFill>
                  <w14:solidFill>
                    <w14:schemeClr w14:val="tx1"/>
                  </w14:solidFill>
                </w14:textFill>
              </w:rPr>
              <w:t>8.25</w:t>
            </w:r>
          </w:p>
        </w:tc>
        <w:tc>
          <w:tcPr>
            <w:tcW w:w="805" w:type="dxa"/>
            <w:tcBorders>
              <w:tl2br w:val="nil"/>
              <w:tr2bl w:val="nil"/>
            </w:tcBorders>
            <w:vAlign w:val="center"/>
          </w:tcPr>
          <w:p>
            <w:pPr>
              <w:adjustRightInd w:val="0"/>
              <w:spacing w:line="360" w:lineRule="auto"/>
              <w:jc w:val="center"/>
              <w:rPr>
                <w:rFonts w:ascii="仿宋_GB2312" w:hAnsi="Calibri" w:eastAsia="仿宋_GB2312" w:cs="Times New Roman"/>
                <w:bCs/>
                <w:color w:val="000000" w:themeColor="text1"/>
                <w:kern w:val="0"/>
                <w:szCs w:val="21"/>
                <w14:textFill>
                  <w14:solidFill>
                    <w14:schemeClr w14:val="tx1"/>
                  </w14:solidFill>
                </w14:textFill>
              </w:rPr>
            </w:pPr>
            <w:r>
              <w:rPr>
                <w:rFonts w:hint="eastAsia" w:ascii="仿宋_GB2312" w:hAnsi="Calibri" w:eastAsia="仿宋_GB2312" w:cs="Times New Roman"/>
                <w:bCs/>
                <w:color w:val="000000" w:themeColor="text1"/>
                <w:kern w:val="0"/>
                <w:szCs w:val="21"/>
                <w14:textFill>
                  <w14:solidFill>
                    <w14:schemeClr w14:val="tx1"/>
                  </w14:solidFill>
                </w14:textFill>
              </w:rPr>
              <w:t>0.69</w:t>
            </w:r>
          </w:p>
        </w:tc>
        <w:tc>
          <w:tcPr>
            <w:tcW w:w="830" w:type="dxa"/>
            <w:tcBorders>
              <w:tl2br w:val="nil"/>
              <w:tr2bl w:val="nil"/>
            </w:tcBorders>
            <w:vAlign w:val="center"/>
          </w:tcPr>
          <w:p>
            <w:pPr>
              <w:adjustRightInd w:val="0"/>
              <w:spacing w:line="360" w:lineRule="auto"/>
              <w:jc w:val="center"/>
              <w:rPr>
                <w:rFonts w:ascii="仿宋_GB2312" w:hAnsi="Calibri" w:eastAsia="仿宋_GB2312" w:cs="Times New Roman"/>
                <w:bCs/>
                <w:color w:val="000000" w:themeColor="text1"/>
                <w:kern w:val="0"/>
                <w:szCs w:val="21"/>
                <w14:textFill>
                  <w14:solidFill>
                    <w14:schemeClr w14:val="tx1"/>
                  </w14:solidFill>
                </w14:textFill>
              </w:rPr>
            </w:pPr>
            <w:r>
              <w:rPr>
                <w:rFonts w:hint="eastAsia" w:ascii="仿宋_GB2312" w:hAnsi="Calibri" w:eastAsia="仿宋_GB2312" w:cs="Times New Roman"/>
                <w:bCs/>
                <w:color w:val="000000" w:themeColor="text1"/>
                <w:kern w:val="0"/>
                <w:szCs w:val="21"/>
                <w14:textFill>
                  <w14:solidFill>
                    <w14:schemeClr w14:val="tx1"/>
                  </w14:solidFill>
                </w14:textFill>
              </w:rPr>
              <w:t>0.016</w:t>
            </w:r>
          </w:p>
        </w:tc>
        <w:tc>
          <w:tcPr>
            <w:tcW w:w="805" w:type="dxa"/>
            <w:tcBorders>
              <w:tl2br w:val="nil"/>
              <w:tr2bl w:val="nil"/>
            </w:tcBorders>
            <w:vAlign w:val="center"/>
          </w:tcPr>
          <w:p>
            <w:pPr>
              <w:adjustRightInd w:val="0"/>
              <w:spacing w:line="360" w:lineRule="auto"/>
              <w:jc w:val="center"/>
              <w:rPr>
                <w:rFonts w:ascii="仿宋_GB2312" w:hAnsi="Calibri" w:eastAsia="仿宋_GB2312" w:cs="Times New Roman"/>
                <w:bCs/>
                <w:color w:val="000000" w:themeColor="text1"/>
                <w:kern w:val="0"/>
                <w:szCs w:val="21"/>
                <w14:textFill>
                  <w14:solidFill>
                    <w14:schemeClr w14:val="tx1"/>
                  </w14:solidFill>
                </w14:textFill>
              </w:rPr>
            </w:pPr>
            <w:r>
              <w:rPr>
                <w:rFonts w:hint="eastAsia" w:ascii="仿宋_GB2312" w:hAnsi="Calibri" w:eastAsia="仿宋_GB2312" w:cs="Times New Roman"/>
                <w:bCs/>
                <w:color w:val="000000" w:themeColor="text1"/>
                <w:kern w:val="0"/>
                <w:szCs w:val="21"/>
                <w14:textFill>
                  <w14:solidFill>
                    <w14:schemeClr w14:val="tx1"/>
                  </w14:solidFill>
                </w14:textFill>
              </w:rPr>
              <w:t>1.28</w:t>
            </w:r>
          </w:p>
        </w:tc>
        <w:tc>
          <w:tcPr>
            <w:tcW w:w="830" w:type="dxa"/>
            <w:tcBorders>
              <w:tl2br w:val="nil"/>
              <w:tr2bl w:val="nil"/>
            </w:tcBorders>
            <w:vAlign w:val="center"/>
          </w:tcPr>
          <w:p>
            <w:pPr>
              <w:adjustRightInd w:val="0"/>
              <w:spacing w:line="360" w:lineRule="auto"/>
              <w:jc w:val="center"/>
              <w:rPr>
                <w:rFonts w:ascii="仿宋_GB2312" w:hAnsi="Calibri" w:eastAsia="仿宋_GB2312" w:cs="Times New Roman"/>
                <w:bCs/>
                <w:color w:val="000000" w:themeColor="text1"/>
                <w:kern w:val="0"/>
                <w:szCs w:val="21"/>
                <w14:textFill>
                  <w14:solidFill>
                    <w14:schemeClr w14:val="tx1"/>
                  </w14:solidFill>
                </w14:textFill>
              </w:rPr>
            </w:pPr>
            <w:r>
              <w:rPr>
                <w:rFonts w:hint="eastAsia" w:ascii="仿宋_GB2312" w:hAnsi="Calibri" w:eastAsia="仿宋_GB2312" w:cs="Times New Roman"/>
                <w:bCs/>
                <w:color w:val="000000" w:themeColor="text1"/>
                <w:kern w:val="0"/>
                <w:szCs w:val="21"/>
                <w14:textFill>
                  <w14:solidFill>
                    <w14:schemeClr w14:val="tx1"/>
                  </w14:solidFill>
                </w14:textFill>
              </w:rPr>
              <w:t>14.97</w:t>
            </w:r>
          </w:p>
        </w:tc>
        <w:tc>
          <w:tcPr>
            <w:tcW w:w="805" w:type="dxa"/>
            <w:tcBorders>
              <w:tl2br w:val="nil"/>
              <w:tr2bl w:val="nil"/>
            </w:tcBorders>
            <w:vAlign w:val="center"/>
          </w:tcPr>
          <w:p>
            <w:pPr>
              <w:adjustRightInd w:val="0"/>
              <w:spacing w:line="360" w:lineRule="auto"/>
              <w:jc w:val="center"/>
              <w:rPr>
                <w:rFonts w:ascii="仿宋_GB2312" w:hAnsi="Calibri" w:eastAsia="仿宋_GB2312" w:cs="Times New Roman"/>
                <w:bCs/>
                <w:color w:val="000000" w:themeColor="text1"/>
                <w:kern w:val="0"/>
                <w:szCs w:val="21"/>
                <w14:textFill>
                  <w14:solidFill>
                    <w14:schemeClr w14:val="tx1"/>
                  </w14:solidFill>
                </w14:textFill>
              </w:rPr>
            </w:pPr>
            <w:r>
              <w:rPr>
                <w:rFonts w:hint="eastAsia" w:ascii="仿宋_GB2312" w:hAnsi="Calibri" w:eastAsia="仿宋_GB2312" w:cs="Times New Roman"/>
                <w:bCs/>
                <w:color w:val="000000" w:themeColor="text1"/>
                <w:kern w:val="0"/>
                <w:szCs w:val="21"/>
                <w14:textFill>
                  <w14:solidFill>
                    <w14:schemeClr w14:val="tx1"/>
                  </w14:solidFill>
                </w14:textFill>
              </w:rPr>
              <w:t>2.88</w:t>
            </w:r>
          </w:p>
        </w:tc>
        <w:tc>
          <w:tcPr>
            <w:tcW w:w="1215" w:type="dxa"/>
            <w:tcBorders>
              <w:tl2br w:val="nil"/>
              <w:tr2bl w:val="nil"/>
            </w:tcBorders>
            <w:vAlign w:val="center"/>
          </w:tcPr>
          <w:p>
            <w:pPr>
              <w:adjustRightInd w:val="0"/>
              <w:spacing w:line="360" w:lineRule="auto"/>
              <w:jc w:val="center"/>
              <w:rPr>
                <w:rFonts w:ascii="仿宋_GB2312" w:hAnsi="Calibri" w:eastAsia="仿宋_GB2312" w:cs="Times New Roman"/>
                <w:bCs/>
                <w:color w:val="000000" w:themeColor="text1"/>
                <w:kern w:val="0"/>
                <w:szCs w:val="21"/>
                <w14:textFill>
                  <w14:solidFill>
                    <w14:schemeClr w14:val="tx1"/>
                  </w14:solidFill>
                </w14:textFill>
              </w:rPr>
            </w:pPr>
            <w:r>
              <w:rPr>
                <w:rFonts w:hint="eastAsia" w:ascii="仿宋_GB2312" w:hAnsi="Calibri" w:eastAsia="仿宋_GB2312" w:cs="Times New Roman"/>
                <w:bCs/>
                <w:color w:val="000000" w:themeColor="text1"/>
                <w:kern w:val="0"/>
                <w:szCs w:val="21"/>
                <w14:textFill>
                  <w14:solidFill>
                    <w14:schemeClr w14:val="tx1"/>
                  </w14:solidFill>
                </w14:textFill>
              </w:rPr>
              <w:t>178.4</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72" w:type="dxa"/>
            <w:tcBorders>
              <w:tl2br w:val="nil"/>
              <w:tr2bl w:val="nil"/>
            </w:tcBorders>
            <w:vAlign w:val="center"/>
          </w:tcPr>
          <w:p>
            <w:pPr>
              <w:adjustRightInd w:val="0"/>
              <w:spacing w:line="360" w:lineRule="auto"/>
              <w:jc w:val="center"/>
              <w:rPr>
                <w:rFonts w:ascii="仿宋_GB2312" w:hAnsi="Calibri" w:eastAsia="仿宋_GB2312" w:cs="Times New Roman"/>
                <w:bCs/>
                <w:color w:val="000000" w:themeColor="text1"/>
                <w:kern w:val="0"/>
                <w:szCs w:val="21"/>
                <w14:textFill>
                  <w14:solidFill>
                    <w14:schemeClr w14:val="tx1"/>
                  </w14:solidFill>
                </w14:textFill>
              </w:rPr>
            </w:pPr>
            <w:r>
              <w:rPr>
                <w:rFonts w:hint="eastAsia" w:ascii="仿宋_GB2312" w:hAnsi="Calibri" w:eastAsia="仿宋_GB2312" w:cs="Times New Roman"/>
                <w:bCs/>
                <w:color w:val="000000" w:themeColor="text1"/>
                <w:kern w:val="0"/>
                <w:szCs w:val="21"/>
                <w14:textFill>
                  <w14:solidFill>
                    <w14:schemeClr w14:val="tx1"/>
                  </w14:solidFill>
                </w14:textFill>
              </w:rPr>
              <w:t>大柴旦</w:t>
            </w:r>
          </w:p>
        </w:tc>
        <w:tc>
          <w:tcPr>
            <w:tcW w:w="830" w:type="dxa"/>
            <w:tcBorders>
              <w:tl2br w:val="nil"/>
              <w:tr2bl w:val="nil"/>
            </w:tcBorders>
            <w:vAlign w:val="center"/>
          </w:tcPr>
          <w:p>
            <w:pPr>
              <w:adjustRightInd w:val="0"/>
              <w:spacing w:line="360" w:lineRule="auto"/>
              <w:rPr>
                <w:rFonts w:ascii="仿宋_GB2312" w:hAnsi="Calibri" w:eastAsia="仿宋_GB2312" w:cs="Times New Roman"/>
                <w:bCs/>
                <w:color w:val="000000" w:themeColor="text1"/>
                <w:kern w:val="0"/>
                <w:szCs w:val="21"/>
                <w14:textFill>
                  <w14:solidFill>
                    <w14:schemeClr w14:val="tx1"/>
                  </w14:solidFill>
                </w14:textFill>
              </w:rPr>
            </w:pPr>
            <w:r>
              <w:rPr>
                <w:rFonts w:hint="eastAsia" w:ascii="仿宋_GB2312" w:hAnsi="Calibri" w:eastAsia="仿宋_GB2312" w:cs="Times New Roman"/>
                <w:bCs/>
                <w:color w:val="000000" w:themeColor="text1"/>
                <w:kern w:val="0"/>
                <w:szCs w:val="21"/>
                <w14:textFill>
                  <w14:solidFill>
                    <w14:schemeClr w14:val="tx1"/>
                  </w14:solidFill>
                </w14:textFill>
              </w:rPr>
              <w:t>0.016</w:t>
            </w:r>
          </w:p>
        </w:tc>
        <w:tc>
          <w:tcPr>
            <w:tcW w:w="830" w:type="dxa"/>
            <w:tcBorders>
              <w:tl2br w:val="nil"/>
              <w:tr2bl w:val="nil"/>
            </w:tcBorders>
            <w:vAlign w:val="center"/>
          </w:tcPr>
          <w:p>
            <w:pPr>
              <w:adjustRightInd w:val="0"/>
              <w:spacing w:line="360" w:lineRule="auto"/>
              <w:jc w:val="center"/>
              <w:rPr>
                <w:rFonts w:ascii="仿宋_GB2312" w:hAnsi="Calibri" w:eastAsia="仿宋_GB2312" w:cs="Times New Roman"/>
                <w:bCs/>
                <w:color w:val="000000" w:themeColor="text1"/>
                <w:kern w:val="0"/>
                <w:szCs w:val="21"/>
                <w14:textFill>
                  <w14:solidFill>
                    <w14:schemeClr w14:val="tx1"/>
                  </w14:solidFill>
                </w14:textFill>
              </w:rPr>
            </w:pPr>
            <w:r>
              <w:rPr>
                <w:rFonts w:hint="eastAsia" w:ascii="仿宋_GB2312" w:hAnsi="Calibri" w:eastAsia="仿宋_GB2312" w:cs="Times New Roman"/>
                <w:bCs/>
                <w:color w:val="000000" w:themeColor="text1"/>
                <w:kern w:val="0"/>
                <w:szCs w:val="21"/>
                <w14:textFill>
                  <w14:solidFill>
                    <w14:schemeClr w14:val="tx1"/>
                  </w14:solidFill>
                </w14:textFill>
              </w:rPr>
              <w:t>10.60</w:t>
            </w:r>
          </w:p>
        </w:tc>
        <w:tc>
          <w:tcPr>
            <w:tcW w:w="805" w:type="dxa"/>
            <w:tcBorders>
              <w:tl2br w:val="nil"/>
              <w:tr2bl w:val="nil"/>
            </w:tcBorders>
            <w:vAlign w:val="center"/>
          </w:tcPr>
          <w:p>
            <w:pPr>
              <w:adjustRightInd w:val="0"/>
              <w:spacing w:line="360" w:lineRule="auto"/>
              <w:jc w:val="center"/>
              <w:rPr>
                <w:rFonts w:ascii="仿宋_GB2312" w:hAnsi="Calibri" w:eastAsia="仿宋_GB2312" w:cs="Times New Roman"/>
                <w:bCs/>
                <w:color w:val="000000" w:themeColor="text1"/>
                <w:kern w:val="0"/>
                <w:szCs w:val="21"/>
                <w14:textFill>
                  <w14:solidFill>
                    <w14:schemeClr w14:val="tx1"/>
                  </w14:solidFill>
                </w14:textFill>
              </w:rPr>
            </w:pPr>
            <w:r>
              <w:rPr>
                <w:rFonts w:hint="eastAsia" w:ascii="仿宋_GB2312" w:hAnsi="Calibri" w:eastAsia="仿宋_GB2312" w:cs="Times New Roman"/>
                <w:bCs/>
                <w:color w:val="000000" w:themeColor="text1"/>
                <w:kern w:val="0"/>
                <w:szCs w:val="21"/>
                <w14:textFill>
                  <w14:solidFill>
                    <w14:schemeClr w14:val="tx1"/>
                  </w14:solidFill>
                </w14:textFill>
              </w:rPr>
              <w:t>0.40</w:t>
            </w:r>
          </w:p>
        </w:tc>
        <w:tc>
          <w:tcPr>
            <w:tcW w:w="830" w:type="dxa"/>
            <w:tcBorders>
              <w:tl2br w:val="nil"/>
              <w:tr2bl w:val="nil"/>
            </w:tcBorders>
            <w:vAlign w:val="center"/>
          </w:tcPr>
          <w:p>
            <w:pPr>
              <w:adjustRightInd w:val="0"/>
              <w:spacing w:line="360" w:lineRule="auto"/>
              <w:jc w:val="center"/>
              <w:rPr>
                <w:rFonts w:ascii="仿宋_GB2312" w:hAnsi="Calibri" w:eastAsia="仿宋_GB2312" w:cs="Times New Roman"/>
                <w:bCs/>
                <w:color w:val="000000" w:themeColor="text1"/>
                <w:kern w:val="0"/>
                <w:szCs w:val="21"/>
                <w14:textFill>
                  <w14:solidFill>
                    <w14:schemeClr w14:val="tx1"/>
                  </w14:solidFill>
                </w14:textFill>
              </w:rPr>
            </w:pPr>
            <w:r>
              <w:rPr>
                <w:rFonts w:hint="eastAsia" w:ascii="仿宋_GB2312" w:hAnsi="Calibri" w:eastAsia="仿宋_GB2312" w:cs="Times New Roman"/>
                <w:bCs/>
                <w:color w:val="000000" w:themeColor="text1"/>
                <w:kern w:val="0"/>
                <w:szCs w:val="21"/>
                <w14:textFill>
                  <w14:solidFill>
                    <w14:schemeClr w14:val="tx1"/>
                  </w14:solidFill>
                </w14:textFill>
              </w:rPr>
              <w:t>0.040</w:t>
            </w:r>
          </w:p>
        </w:tc>
        <w:tc>
          <w:tcPr>
            <w:tcW w:w="805" w:type="dxa"/>
            <w:tcBorders>
              <w:tl2br w:val="nil"/>
              <w:tr2bl w:val="nil"/>
            </w:tcBorders>
            <w:vAlign w:val="center"/>
          </w:tcPr>
          <w:p>
            <w:pPr>
              <w:adjustRightInd w:val="0"/>
              <w:spacing w:line="360" w:lineRule="auto"/>
              <w:jc w:val="center"/>
              <w:rPr>
                <w:rFonts w:ascii="仿宋_GB2312" w:hAnsi="Calibri" w:eastAsia="仿宋_GB2312" w:cs="Times New Roman"/>
                <w:bCs/>
                <w:color w:val="000000" w:themeColor="text1"/>
                <w:kern w:val="0"/>
                <w:szCs w:val="21"/>
                <w14:textFill>
                  <w14:solidFill>
                    <w14:schemeClr w14:val="tx1"/>
                  </w14:solidFill>
                </w14:textFill>
              </w:rPr>
            </w:pPr>
            <w:r>
              <w:rPr>
                <w:rFonts w:hint="eastAsia" w:ascii="仿宋_GB2312" w:hAnsi="Calibri" w:eastAsia="仿宋_GB2312" w:cs="Times New Roman"/>
                <w:bCs/>
                <w:color w:val="000000" w:themeColor="text1"/>
                <w:kern w:val="0"/>
                <w:szCs w:val="21"/>
                <w14:textFill>
                  <w14:solidFill>
                    <w14:schemeClr w14:val="tx1"/>
                  </w14:solidFill>
                </w14:textFill>
              </w:rPr>
              <w:t>1.30</w:t>
            </w:r>
          </w:p>
        </w:tc>
        <w:tc>
          <w:tcPr>
            <w:tcW w:w="830" w:type="dxa"/>
            <w:tcBorders>
              <w:tl2br w:val="nil"/>
              <w:tr2bl w:val="nil"/>
            </w:tcBorders>
            <w:vAlign w:val="center"/>
          </w:tcPr>
          <w:p>
            <w:pPr>
              <w:adjustRightInd w:val="0"/>
              <w:spacing w:line="360" w:lineRule="auto"/>
              <w:jc w:val="center"/>
              <w:rPr>
                <w:rFonts w:ascii="仿宋_GB2312" w:hAnsi="Calibri" w:eastAsia="仿宋_GB2312" w:cs="Times New Roman"/>
                <w:bCs/>
                <w:color w:val="000000" w:themeColor="text1"/>
                <w:kern w:val="0"/>
                <w:szCs w:val="21"/>
                <w14:textFill>
                  <w14:solidFill>
                    <w14:schemeClr w14:val="tx1"/>
                  </w14:solidFill>
                </w14:textFill>
              </w:rPr>
            </w:pPr>
            <w:r>
              <w:rPr>
                <w:rFonts w:hint="eastAsia" w:ascii="仿宋_GB2312" w:hAnsi="Calibri" w:eastAsia="仿宋_GB2312" w:cs="Times New Roman"/>
                <w:bCs/>
                <w:color w:val="000000" w:themeColor="text1"/>
                <w:kern w:val="0"/>
                <w:szCs w:val="21"/>
                <w14:textFill>
                  <w14:solidFill>
                    <w14:schemeClr w14:val="tx1"/>
                  </w14:solidFill>
                </w14:textFill>
              </w:rPr>
              <w:t>18.70</w:t>
            </w:r>
          </w:p>
        </w:tc>
        <w:tc>
          <w:tcPr>
            <w:tcW w:w="805" w:type="dxa"/>
            <w:tcBorders>
              <w:tl2br w:val="nil"/>
              <w:tr2bl w:val="nil"/>
            </w:tcBorders>
            <w:vAlign w:val="center"/>
          </w:tcPr>
          <w:p>
            <w:pPr>
              <w:adjustRightInd w:val="0"/>
              <w:spacing w:line="360" w:lineRule="auto"/>
              <w:jc w:val="center"/>
              <w:rPr>
                <w:rFonts w:ascii="仿宋_GB2312" w:hAnsi="Calibri" w:eastAsia="仿宋_GB2312" w:cs="Times New Roman"/>
                <w:bCs/>
                <w:color w:val="000000" w:themeColor="text1"/>
                <w:kern w:val="0"/>
                <w:szCs w:val="21"/>
                <w14:textFill>
                  <w14:solidFill>
                    <w14:schemeClr w14:val="tx1"/>
                  </w14:solidFill>
                </w14:textFill>
              </w:rPr>
            </w:pPr>
            <w:r>
              <w:rPr>
                <w:rFonts w:hint="eastAsia" w:ascii="仿宋_GB2312" w:hAnsi="Calibri" w:eastAsia="仿宋_GB2312" w:cs="Times New Roman"/>
                <w:bCs/>
                <w:color w:val="000000" w:themeColor="text1"/>
                <w:kern w:val="0"/>
                <w:szCs w:val="21"/>
                <w14:textFill>
                  <w14:solidFill>
                    <w14:schemeClr w14:val="tx1"/>
                  </w14:solidFill>
                </w14:textFill>
              </w:rPr>
              <w:t>2.25</w:t>
            </w:r>
          </w:p>
        </w:tc>
        <w:tc>
          <w:tcPr>
            <w:tcW w:w="1215" w:type="dxa"/>
            <w:tcBorders>
              <w:tl2br w:val="nil"/>
              <w:tr2bl w:val="nil"/>
            </w:tcBorders>
            <w:vAlign w:val="center"/>
          </w:tcPr>
          <w:p>
            <w:pPr>
              <w:adjustRightInd w:val="0"/>
              <w:spacing w:line="360" w:lineRule="auto"/>
              <w:jc w:val="center"/>
              <w:rPr>
                <w:rFonts w:ascii="仿宋_GB2312" w:hAnsi="Calibri" w:eastAsia="仿宋_GB2312" w:cs="Times New Roman"/>
                <w:bCs/>
                <w:color w:val="000000" w:themeColor="text1"/>
                <w:kern w:val="0"/>
                <w:szCs w:val="21"/>
                <w14:textFill>
                  <w14:solidFill>
                    <w14:schemeClr w14:val="tx1"/>
                  </w14:solidFill>
                </w14:textFill>
              </w:rPr>
            </w:pPr>
            <w:r>
              <w:rPr>
                <w:rFonts w:hint="eastAsia" w:ascii="仿宋_GB2312" w:hAnsi="Calibri" w:eastAsia="仿宋_GB2312" w:cs="Times New Roman"/>
                <w:bCs/>
                <w:color w:val="000000" w:themeColor="text1"/>
                <w:kern w:val="0"/>
                <w:szCs w:val="21"/>
                <w14:textFill>
                  <w14:solidFill>
                    <w14:schemeClr w14:val="tx1"/>
                  </w14:solidFill>
                </w14:textFill>
              </w:rPr>
              <w:t>24.3</w:t>
            </w:r>
          </w:p>
        </w:tc>
      </w:tr>
    </w:tbl>
    <w:p>
      <w:pPr>
        <w:adjustRightInd w:val="0"/>
        <w:spacing w:line="360" w:lineRule="auto"/>
        <w:ind w:firstLine="560" w:firstLineChars="200"/>
        <w:rPr>
          <w:rFonts w:ascii="仿宋_GB2312" w:eastAsia="仿宋_GB2312"/>
          <w:bCs/>
          <w:color w:val="000000" w:themeColor="text1"/>
          <w:spacing w:val="-20"/>
          <w:sz w:val="32"/>
          <w:szCs w:val="32"/>
          <w14:textFill>
            <w14:solidFill>
              <w14:schemeClr w14:val="tx1"/>
            </w14:solidFill>
          </w14:textFill>
        </w:rPr>
      </w:pPr>
      <w:r>
        <w:rPr>
          <w:rFonts w:hint="eastAsia" w:ascii="仿宋_GB2312" w:eastAsia="仿宋_GB2312"/>
          <w:bCs/>
          <w:color w:val="000000" w:themeColor="text1"/>
          <w:spacing w:val="-20"/>
          <w:sz w:val="32"/>
          <w:szCs w:val="32"/>
          <w14:textFill>
            <w14:solidFill>
              <w14:schemeClr w14:val="tx1"/>
            </w14:solidFill>
          </w14:textFill>
        </w:rPr>
        <w:t>锂具有高的比热和电导率，密度0.53g/cm</w:t>
      </w:r>
      <w:r>
        <w:rPr>
          <w:rFonts w:hint="eastAsia" w:ascii="仿宋_GB2312" w:eastAsia="仿宋_GB2312"/>
          <w:bCs/>
          <w:color w:val="000000" w:themeColor="text1"/>
          <w:spacing w:val="-20"/>
          <w:sz w:val="32"/>
          <w:szCs w:val="32"/>
          <w:vertAlign w:val="superscript"/>
          <w14:textFill>
            <w14:solidFill>
              <w14:schemeClr w14:val="tx1"/>
            </w14:solidFill>
          </w14:textFill>
        </w:rPr>
        <w:t>3</w:t>
      </w:r>
      <w:r>
        <w:rPr>
          <w:rFonts w:hint="eastAsia" w:ascii="仿宋_GB2312" w:eastAsia="仿宋_GB2312"/>
          <w:bCs/>
          <w:color w:val="000000" w:themeColor="text1"/>
          <w:spacing w:val="-20"/>
          <w:sz w:val="32"/>
          <w:szCs w:val="32"/>
          <w14:textFill>
            <w14:solidFill>
              <w14:schemeClr w14:val="tx1"/>
            </w14:solidFill>
          </w14:textFill>
        </w:rPr>
        <w:t>，是自然界中最轻的金属元素。金属锂及其合以的化物，在原子能、核工业、冶金工业、电子、化工、电池、航空航天以及机械制备等许多领域具有广泛的用途。尤其随着电脑、数码相机、手机、移动电动工具等电子产品的不断发展，电池行业已经成为锂最大的消费领域，对锂的需求量也将会不断提高。</w:t>
      </w:r>
    </w:p>
    <w:p>
      <w:pPr>
        <w:adjustRightInd w:val="0"/>
        <w:spacing w:line="360" w:lineRule="auto"/>
        <w:ind w:firstLine="560" w:firstLineChars="200"/>
        <w:rPr>
          <w:rFonts w:ascii="仿宋_GB2312" w:eastAsia="仿宋_GB2312"/>
          <w:bCs/>
          <w:color w:val="000000" w:themeColor="text1"/>
          <w:sz w:val="32"/>
          <w:szCs w:val="32"/>
          <w14:textFill>
            <w14:solidFill>
              <w14:schemeClr w14:val="tx1"/>
            </w14:solidFill>
          </w14:textFill>
        </w:rPr>
      </w:pPr>
      <w:r>
        <w:rPr>
          <w:rFonts w:hint="eastAsia" w:ascii="仿宋_GB2312" w:eastAsia="仿宋_GB2312"/>
          <w:bCs/>
          <w:color w:val="000000" w:themeColor="text1"/>
          <w:spacing w:val="-20"/>
          <w:sz w:val="32"/>
          <w:szCs w:val="32"/>
          <w14:textFill>
            <w14:solidFill>
              <w14:schemeClr w14:val="tx1"/>
            </w14:solidFill>
          </w14:textFill>
        </w:rPr>
        <w:t>青海盐湖锂资源开发难度大，起步晚，通过多年科技攻关，青海盐湖提锂技术获得突破，探索出低成本从高镁锂比硫酸镁亚型、氯化物型盐湖卤水镁锂分离技术，构建了高镁锂比盐湖卤水绿色分离提取技术，建成了万吨级碳酸锂生产线。为持续提升盐湖资源开发和资源利用水平，需不断延伸盐湖提锂的产业链，发展下游金属锂及锂合金产品。</w:t>
      </w:r>
    </w:p>
    <w:p>
      <w:pPr>
        <w:spacing w:line="360" w:lineRule="auto"/>
        <w:ind w:firstLine="643" w:firstLineChars="200"/>
        <w:rPr>
          <w:rFonts w:ascii="仿宋_GB2312" w:hAnsi="楷体" w:eastAsia="仿宋_GB2312" w:cs="Times New Roman"/>
          <w:b/>
          <w:color w:val="000000" w:themeColor="text1"/>
          <w:sz w:val="32"/>
          <w:szCs w:val="32"/>
          <w14:textFill>
            <w14:solidFill>
              <w14:schemeClr w14:val="tx1"/>
            </w14:solidFill>
          </w14:textFill>
        </w:rPr>
      </w:pPr>
      <w:r>
        <w:rPr>
          <w:rFonts w:hint="eastAsia" w:ascii="仿宋_GB2312" w:hAnsi="楷体" w:eastAsia="仿宋_GB2312" w:cs="Times New Roman"/>
          <w:b/>
          <w:color w:val="000000" w:themeColor="text1"/>
          <w:sz w:val="32"/>
          <w:szCs w:val="32"/>
          <w14:textFill>
            <w14:solidFill>
              <w14:schemeClr w14:val="tx1"/>
            </w14:solidFill>
          </w14:textFill>
        </w:rPr>
        <w:t>二、项目研究内容、预期目标</w:t>
      </w:r>
    </w:p>
    <w:p>
      <w:pPr>
        <w:spacing w:line="360" w:lineRule="auto"/>
        <w:ind w:firstLine="643" w:firstLineChars="200"/>
        <w:rPr>
          <w:rFonts w:ascii="仿宋_GB2312" w:hAnsi="楷体" w:eastAsia="仿宋_GB2312" w:cs="Times New Roman"/>
          <w:b/>
          <w:color w:val="000000" w:themeColor="text1"/>
          <w:sz w:val="32"/>
          <w:szCs w:val="32"/>
          <w14:textFill>
            <w14:solidFill>
              <w14:schemeClr w14:val="tx1"/>
            </w14:solidFill>
          </w14:textFill>
        </w:rPr>
      </w:pPr>
      <w:r>
        <w:rPr>
          <w:rFonts w:hint="eastAsia" w:ascii="仿宋_GB2312" w:hAnsi="楷体" w:eastAsia="仿宋_GB2312" w:cs="Times New Roman"/>
          <w:b/>
          <w:color w:val="000000" w:themeColor="text1"/>
          <w:sz w:val="32"/>
          <w:szCs w:val="32"/>
          <w14:textFill>
            <w14:solidFill>
              <w14:schemeClr w14:val="tx1"/>
            </w14:solidFill>
          </w14:textFill>
        </w:rPr>
        <w:t>（一）研究内容</w:t>
      </w:r>
    </w:p>
    <w:p>
      <w:pPr>
        <w:spacing w:line="360" w:lineRule="auto"/>
        <w:ind w:firstLine="560" w:firstLineChars="200"/>
        <w:rPr>
          <w:rFonts w:hint="eastAsia" w:ascii="仿宋_GB2312" w:eastAsia="仿宋_GB2312"/>
          <w:bCs/>
          <w:color w:val="000000" w:themeColor="text1"/>
          <w:spacing w:val="-20"/>
          <w:sz w:val="32"/>
          <w:szCs w:val="32"/>
          <w:lang w:eastAsia="zh-CN"/>
          <w14:textFill>
            <w14:solidFill>
              <w14:schemeClr w14:val="tx1"/>
            </w14:solidFill>
          </w14:textFill>
        </w:rPr>
      </w:pPr>
      <w:r>
        <w:rPr>
          <w:rFonts w:hint="eastAsia" w:ascii="仿宋_GB2312" w:eastAsia="仿宋_GB2312"/>
          <w:bCs/>
          <w:color w:val="000000" w:themeColor="text1"/>
          <w:spacing w:val="-20"/>
          <w:sz w:val="32"/>
          <w:szCs w:val="32"/>
          <w14:textFill>
            <w14:solidFill>
              <w14:schemeClr w14:val="tx1"/>
            </w14:solidFill>
          </w14:textFill>
        </w:rPr>
        <w:t>1.基于察尔汗盐湖氯化锂资源，研究电解制备金属锂工艺技术</w:t>
      </w:r>
      <w:r>
        <w:rPr>
          <w:rFonts w:hint="eastAsia" w:ascii="仿宋_GB2312" w:eastAsia="仿宋_GB2312"/>
          <w:bCs/>
          <w:color w:val="000000" w:themeColor="text1"/>
          <w:spacing w:val="-20"/>
          <w:sz w:val="32"/>
          <w:szCs w:val="32"/>
          <w:lang w:eastAsia="zh-CN"/>
          <w14:textFill>
            <w14:solidFill>
              <w14:schemeClr w14:val="tx1"/>
            </w14:solidFill>
          </w14:textFill>
        </w:rPr>
        <w:t>；</w:t>
      </w:r>
    </w:p>
    <w:p>
      <w:pPr>
        <w:spacing w:line="360" w:lineRule="auto"/>
        <w:ind w:firstLine="560" w:firstLineChars="200"/>
        <w:rPr>
          <w:rFonts w:ascii="仿宋_GB2312" w:eastAsia="仿宋_GB2312"/>
          <w:bCs/>
          <w:color w:val="000000" w:themeColor="text1"/>
          <w:sz w:val="32"/>
          <w:szCs w:val="32"/>
          <w14:textFill>
            <w14:solidFill>
              <w14:schemeClr w14:val="tx1"/>
            </w14:solidFill>
          </w14:textFill>
        </w:rPr>
      </w:pPr>
      <w:r>
        <w:rPr>
          <w:rFonts w:hint="eastAsia" w:ascii="仿宋_GB2312" w:eastAsia="仿宋_GB2312"/>
          <w:bCs/>
          <w:color w:val="000000" w:themeColor="text1"/>
          <w:spacing w:val="-20"/>
          <w:sz w:val="32"/>
          <w:szCs w:val="32"/>
          <w14:textFill>
            <w14:solidFill>
              <w14:schemeClr w14:val="tx1"/>
            </w14:solidFill>
          </w14:textFill>
        </w:rPr>
        <w:t>2.金属锂制备关键工序及设备研究。</w:t>
      </w:r>
    </w:p>
    <w:p>
      <w:pPr>
        <w:spacing w:line="360" w:lineRule="auto"/>
        <w:ind w:firstLine="643" w:firstLineChars="200"/>
        <w:rPr>
          <w:rFonts w:ascii="仿宋_GB2312" w:hAnsi="楷体" w:eastAsia="仿宋_GB2312" w:cs="Times New Roman"/>
          <w:b/>
          <w:color w:val="000000" w:themeColor="text1"/>
          <w:sz w:val="32"/>
          <w:szCs w:val="32"/>
          <w14:textFill>
            <w14:solidFill>
              <w14:schemeClr w14:val="tx1"/>
            </w14:solidFill>
          </w14:textFill>
        </w:rPr>
      </w:pPr>
      <w:r>
        <w:rPr>
          <w:rFonts w:hint="eastAsia" w:ascii="仿宋_GB2312" w:hAnsi="楷体" w:eastAsia="仿宋_GB2312" w:cs="Times New Roman"/>
          <w:b/>
          <w:color w:val="000000" w:themeColor="text1"/>
          <w:sz w:val="32"/>
          <w:szCs w:val="32"/>
          <w14:textFill>
            <w14:solidFill>
              <w14:schemeClr w14:val="tx1"/>
            </w14:solidFill>
          </w14:textFill>
        </w:rPr>
        <w:t>（二）预期目标</w:t>
      </w:r>
    </w:p>
    <w:p>
      <w:pPr>
        <w:spacing w:line="360" w:lineRule="auto"/>
        <w:ind w:firstLine="560" w:firstLineChars="200"/>
        <w:rPr>
          <w:rFonts w:hint="eastAsia" w:ascii="仿宋_GB2312" w:eastAsia="仿宋_GB2312"/>
          <w:bCs/>
          <w:color w:val="000000" w:themeColor="text1"/>
          <w:spacing w:val="-20"/>
          <w:sz w:val="32"/>
          <w:szCs w:val="32"/>
          <w:lang w:eastAsia="zh-CN"/>
          <w14:textFill>
            <w14:solidFill>
              <w14:schemeClr w14:val="tx1"/>
            </w14:solidFill>
          </w14:textFill>
        </w:rPr>
      </w:pPr>
      <w:r>
        <w:rPr>
          <w:rFonts w:hint="eastAsia" w:ascii="仿宋_GB2312" w:eastAsia="仿宋_GB2312"/>
          <w:bCs/>
          <w:color w:val="000000" w:themeColor="text1"/>
          <w:spacing w:val="-20"/>
          <w:sz w:val="32"/>
          <w:szCs w:val="32"/>
          <w14:textFill>
            <w14:solidFill>
              <w14:schemeClr w14:val="tx1"/>
            </w14:solidFill>
          </w14:textFill>
        </w:rPr>
        <w:t>1.获得一种基于察尔汗盐湖氯化锂的金属锂制备成套装备及技术，达到行业技术水平</w:t>
      </w:r>
      <w:r>
        <w:rPr>
          <w:rFonts w:hint="eastAsia" w:ascii="仿宋_GB2312" w:eastAsia="仿宋_GB2312"/>
          <w:bCs/>
          <w:color w:val="000000" w:themeColor="text1"/>
          <w:spacing w:val="-20"/>
          <w:sz w:val="32"/>
          <w:szCs w:val="32"/>
          <w:lang w:eastAsia="zh-CN"/>
          <w14:textFill>
            <w14:solidFill>
              <w14:schemeClr w14:val="tx1"/>
            </w14:solidFill>
          </w14:textFill>
        </w:rPr>
        <w:t>；</w:t>
      </w:r>
    </w:p>
    <w:p>
      <w:pPr>
        <w:spacing w:line="360" w:lineRule="auto"/>
        <w:ind w:firstLine="560" w:firstLineChars="200"/>
        <w:rPr>
          <w:rFonts w:ascii="仿宋_GB2312" w:eastAsia="仿宋_GB2312"/>
          <w:bCs/>
          <w:color w:val="000000" w:themeColor="text1"/>
          <w:spacing w:val="-20"/>
          <w:sz w:val="32"/>
          <w:szCs w:val="32"/>
          <w14:textFill>
            <w14:solidFill>
              <w14:schemeClr w14:val="tx1"/>
            </w14:solidFill>
          </w14:textFill>
        </w:rPr>
      </w:pPr>
      <w:r>
        <w:rPr>
          <w:rFonts w:hint="eastAsia" w:ascii="仿宋_GB2312" w:eastAsia="仿宋_GB2312"/>
          <w:bCs/>
          <w:color w:val="000000" w:themeColor="text1"/>
          <w:spacing w:val="-20"/>
          <w:sz w:val="32"/>
          <w:szCs w:val="32"/>
          <w14:textFill>
            <w14:solidFill>
              <w14:schemeClr w14:val="tx1"/>
            </w14:solidFill>
          </w14:textFill>
        </w:rPr>
        <w:t>2.</w:t>
      </w:r>
      <w:r>
        <w:rPr>
          <w:rFonts w:hint="eastAsia" w:ascii="仿宋_GB2312" w:hAnsi="宋体" w:eastAsia="仿宋_GB2312" w:cs="Times New Roman"/>
          <w:color w:val="000000" w:themeColor="text1"/>
          <w:spacing w:val="-20"/>
          <w:sz w:val="32"/>
          <w:szCs w:val="32"/>
          <w14:textFill>
            <w14:solidFill>
              <w14:schemeClr w14:val="tx1"/>
            </w14:solidFill>
          </w14:textFill>
        </w:rPr>
        <w:t>建成盐湖卤水电解金属锂中试装置。</w:t>
      </w:r>
    </w:p>
    <w:p>
      <w:pPr>
        <w:spacing w:line="360" w:lineRule="auto"/>
        <w:ind w:firstLine="643" w:firstLineChars="200"/>
        <w:rPr>
          <w:rFonts w:ascii="仿宋_GB2312" w:hAnsi="楷体" w:eastAsia="仿宋_GB2312" w:cs="Times New Roman"/>
          <w:b/>
          <w:color w:val="000000" w:themeColor="text1"/>
          <w:sz w:val="32"/>
          <w:szCs w:val="32"/>
          <w14:textFill>
            <w14:solidFill>
              <w14:schemeClr w14:val="tx1"/>
            </w14:solidFill>
          </w14:textFill>
        </w:rPr>
      </w:pPr>
      <w:r>
        <w:rPr>
          <w:rFonts w:hint="eastAsia" w:ascii="仿宋_GB2312" w:hAnsi="楷体" w:eastAsia="仿宋_GB2312" w:cs="Times New Roman"/>
          <w:b/>
          <w:color w:val="000000" w:themeColor="text1"/>
          <w:sz w:val="32"/>
          <w:szCs w:val="32"/>
          <w14:textFill>
            <w14:solidFill>
              <w14:schemeClr w14:val="tx1"/>
            </w14:solidFill>
          </w14:textFill>
        </w:rPr>
        <w:t>三、项目研究合作模式</w:t>
      </w:r>
    </w:p>
    <w:p>
      <w:pPr>
        <w:spacing w:line="360" w:lineRule="auto"/>
        <w:ind w:firstLine="560" w:firstLineChars="200"/>
        <w:rPr>
          <w:rFonts w:hint="eastAsia" w:ascii="仿宋_GB2312" w:hAnsi="仿宋" w:eastAsia="仿宋_GB2312" w:cs="Times New Roman"/>
          <w:color w:val="000000" w:themeColor="text1"/>
          <w:sz w:val="32"/>
          <w:szCs w:val="32"/>
          <w14:textFill>
            <w14:solidFill>
              <w14:schemeClr w14:val="tx1"/>
            </w14:solidFill>
          </w14:textFill>
        </w:rPr>
      </w:pPr>
      <w:r>
        <w:rPr>
          <w:rFonts w:hint="eastAsia" w:ascii="仿宋_GB2312" w:hAnsi="仿宋" w:eastAsia="仿宋_GB2312" w:cs="Times New Roman"/>
          <w:color w:val="000000" w:themeColor="text1"/>
          <w:spacing w:val="-20"/>
          <w:sz w:val="32"/>
          <w:szCs w:val="32"/>
          <w14:textFill>
            <w14:solidFill>
              <w14:schemeClr w14:val="tx1"/>
            </w14:solidFill>
          </w14:textFill>
        </w:rPr>
        <w:t>本项目将由青海盐湖工业股份有限公司作为投资主体，通过“揭榜挂帅”的方式引进科研院所、高校、企业等进行联合攻关，或技术引进。</w:t>
      </w:r>
    </w:p>
    <w:p>
      <w:pPr>
        <w:rPr>
          <w:rFonts w:ascii="仿宋_GB2312" w:eastAsia="仿宋_GB2312"/>
          <w:color w:val="000000" w:themeColor="text1"/>
          <w:sz w:val="32"/>
          <w:szCs w:val="32"/>
          <w14:textFill>
            <w14:solidFill>
              <w14:schemeClr w14:val="tx1"/>
            </w14:solidFill>
          </w14:textFill>
        </w:rPr>
      </w:pPr>
      <w:r>
        <w:rPr>
          <w:rFonts w:hint="eastAsia" w:ascii="仿宋_GB2312" w:hAnsi="仿宋" w:eastAsia="仿宋_GB2312" w:cs="Times New Roman"/>
          <w:color w:val="000000" w:themeColor="text1"/>
          <w:sz w:val="32"/>
          <w:szCs w:val="32"/>
          <w14:textFill>
            <w14:solidFill>
              <w14:schemeClr w14:val="tx1"/>
            </w14:solidFill>
          </w14:textFill>
        </w:rPr>
        <w:br w:type="page"/>
      </w:r>
    </w:p>
    <w:p>
      <w:pPr>
        <w:spacing w:line="360" w:lineRule="auto"/>
        <w:jc w:val="center"/>
        <w:rPr>
          <w:rFonts w:ascii="仿宋_GB2312" w:hAnsi="华文中宋" w:eastAsia="仿宋_GB2312"/>
          <w:b/>
          <w:color w:val="000000" w:themeColor="text1"/>
          <w:sz w:val="32"/>
          <w:szCs w:val="32"/>
          <w14:textFill>
            <w14:solidFill>
              <w14:schemeClr w14:val="tx1"/>
            </w14:solidFill>
          </w14:textFill>
        </w:rPr>
      </w:pPr>
      <w:r>
        <w:rPr>
          <w:rFonts w:hint="eastAsia" w:ascii="仿宋_GB2312" w:hAnsi="华文中宋" w:eastAsia="仿宋_GB2312"/>
          <w:b/>
          <w:color w:val="000000" w:themeColor="text1"/>
          <w:sz w:val="32"/>
          <w:szCs w:val="32"/>
          <w14:textFill>
            <w14:solidFill>
              <w14:schemeClr w14:val="tx1"/>
            </w14:solidFill>
          </w14:textFill>
        </w:rPr>
        <w:t>项目3  盐湖卤水提镁技术</w:t>
      </w:r>
    </w:p>
    <w:p>
      <w:pPr>
        <w:spacing w:line="360" w:lineRule="auto"/>
        <w:ind w:firstLine="643" w:firstLineChars="200"/>
        <w:rPr>
          <w:rFonts w:ascii="仿宋_GB2312" w:eastAsia="仿宋_GB2312"/>
          <w:b/>
          <w:color w:val="000000" w:themeColor="text1"/>
          <w:sz w:val="32"/>
          <w:szCs w:val="32"/>
          <w14:textFill>
            <w14:solidFill>
              <w14:schemeClr w14:val="tx1"/>
            </w14:solidFill>
          </w14:textFill>
        </w:rPr>
      </w:pPr>
      <w:r>
        <w:rPr>
          <w:rFonts w:hint="eastAsia" w:ascii="仿宋_GB2312" w:eastAsia="仿宋_GB2312"/>
          <w:b/>
          <w:color w:val="000000" w:themeColor="text1"/>
          <w:sz w:val="32"/>
          <w:szCs w:val="32"/>
          <w14:textFill>
            <w14:solidFill>
              <w14:schemeClr w14:val="tx1"/>
            </w14:solidFill>
          </w14:textFill>
        </w:rPr>
        <w:t>一、</w:t>
      </w:r>
      <w:r>
        <w:rPr>
          <w:rFonts w:hint="eastAsia" w:ascii="仿宋_GB2312" w:hAnsi="楷体" w:eastAsia="仿宋_GB2312"/>
          <w:b/>
          <w:color w:val="000000" w:themeColor="text1"/>
          <w:sz w:val="32"/>
          <w:szCs w:val="32"/>
          <w14:textFill>
            <w14:solidFill>
              <w14:schemeClr w14:val="tx1"/>
            </w14:solidFill>
          </w14:textFill>
        </w:rPr>
        <w:t>项目立项背景</w:t>
      </w:r>
    </w:p>
    <w:p>
      <w:pPr>
        <w:adjustRightInd w:val="0"/>
        <w:snapToGrid w:val="0"/>
        <w:spacing w:line="360" w:lineRule="auto"/>
        <w:ind w:firstLine="548" w:firstLineChars="200"/>
        <w:rPr>
          <w:rFonts w:ascii="仿宋_GB2312" w:eastAsia="仿宋_GB2312"/>
          <w:color w:val="000000" w:themeColor="text1"/>
          <w:spacing w:val="-23"/>
          <w:sz w:val="32"/>
          <w:szCs w:val="32"/>
          <w14:textFill>
            <w14:solidFill>
              <w14:schemeClr w14:val="tx1"/>
            </w14:solidFill>
          </w14:textFill>
        </w:rPr>
      </w:pPr>
      <w:r>
        <w:rPr>
          <w:rFonts w:hint="eastAsia" w:ascii="仿宋_GB2312" w:eastAsia="仿宋_GB2312"/>
          <w:color w:val="000000" w:themeColor="text1"/>
          <w:spacing w:val="-23"/>
          <w:sz w:val="32"/>
          <w:szCs w:val="32"/>
          <w14:textFill>
            <w14:solidFill>
              <w14:schemeClr w14:val="tx1"/>
            </w14:solidFill>
          </w14:textFill>
        </w:rPr>
        <w:t>国家提出“碳达峰、碳中和”目标要求。我国是镁资源大国，镁是我国唯一不受国外资源限制的轻金属材料。凭借资源、能源优势，我国一直是世界上最大的原镁生产国、出口国和消费国。国内外镁的应用领域正在不断扩大，镁的应用和发展引来新的机遇。</w:t>
      </w:r>
    </w:p>
    <w:p>
      <w:pPr>
        <w:adjustRightInd w:val="0"/>
        <w:snapToGrid w:val="0"/>
        <w:spacing w:line="360" w:lineRule="auto"/>
        <w:ind w:firstLine="548" w:firstLineChars="200"/>
        <w:rPr>
          <w:rFonts w:ascii="仿宋_GB2312" w:eastAsia="仿宋_GB2312"/>
          <w:color w:val="000000" w:themeColor="text1"/>
          <w:spacing w:val="-23"/>
          <w:sz w:val="32"/>
          <w:szCs w:val="32"/>
          <w14:textFill>
            <w14:solidFill>
              <w14:schemeClr w14:val="tx1"/>
            </w14:solidFill>
          </w14:textFill>
        </w:rPr>
      </w:pPr>
      <w:r>
        <w:rPr>
          <w:rFonts w:hint="eastAsia" w:ascii="仿宋_GB2312" w:eastAsia="仿宋_GB2312"/>
          <w:color w:val="000000" w:themeColor="text1"/>
          <w:spacing w:val="-23"/>
          <w:sz w:val="32"/>
          <w:szCs w:val="32"/>
          <w14:textFill>
            <w14:solidFill>
              <w14:schemeClr w14:val="tx1"/>
            </w14:solidFill>
          </w14:textFill>
        </w:rPr>
        <w:t>青海柴达木盆地察尔汗盐湖氯化镁储量为40亿吨，居全国首位。青海盐湖股份公司氯化钾生产能力已达500万吨/年，氯化钾生产过程中排放的老卤年产生量约5000万吨，利用柴达木盆地独一无二的气候条件，经过盐田自然蒸发结晶，可获得纯度较高的水氯镁石，成本低廉。以水氯镁石脱水制备无水氯化镁的卤水电解炼镁工艺，与传统皮江法冶炼金属镁工艺相比，具有规模化程度高、产品品质稳定、杂质少、冶炼过程绿色环保的特性。因此对现有引进海德鲁电解金属镁成套工艺技术不断攻关、优化提升的基础上，探索盐湖卤水提镁新技术的前景可观、意义重大。</w:t>
      </w:r>
    </w:p>
    <w:p>
      <w:pPr>
        <w:spacing w:line="360" w:lineRule="auto"/>
        <w:ind w:firstLine="643" w:firstLineChars="200"/>
        <w:rPr>
          <w:rFonts w:ascii="仿宋_GB2312" w:hAnsi="楷体" w:eastAsia="仿宋_GB2312"/>
          <w:b/>
          <w:color w:val="000000" w:themeColor="text1"/>
          <w:sz w:val="32"/>
          <w:szCs w:val="32"/>
          <w14:textFill>
            <w14:solidFill>
              <w14:schemeClr w14:val="tx1"/>
            </w14:solidFill>
          </w14:textFill>
        </w:rPr>
      </w:pPr>
      <w:r>
        <w:rPr>
          <w:rFonts w:hint="eastAsia" w:ascii="仿宋_GB2312" w:hAnsi="楷体" w:eastAsia="仿宋_GB2312"/>
          <w:b/>
          <w:color w:val="000000" w:themeColor="text1"/>
          <w:sz w:val="32"/>
          <w:szCs w:val="32"/>
          <w14:textFill>
            <w14:solidFill>
              <w14:schemeClr w14:val="tx1"/>
            </w14:solidFill>
          </w14:textFill>
        </w:rPr>
        <w:t>二、项目研究内容、预期目标</w:t>
      </w:r>
    </w:p>
    <w:p>
      <w:pPr>
        <w:spacing w:line="360" w:lineRule="auto"/>
        <w:ind w:firstLine="643" w:firstLineChars="200"/>
        <w:rPr>
          <w:rFonts w:ascii="仿宋_GB2312" w:hAnsi="楷体" w:eastAsia="仿宋_GB2312"/>
          <w:b/>
          <w:color w:val="000000" w:themeColor="text1"/>
          <w:sz w:val="32"/>
          <w:szCs w:val="32"/>
          <w14:textFill>
            <w14:solidFill>
              <w14:schemeClr w14:val="tx1"/>
            </w14:solidFill>
          </w14:textFill>
        </w:rPr>
      </w:pPr>
      <w:r>
        <w:rPr>
          <w:rFonts w:hint="eastAsia" w:ascii="仿宋_GB2312" w:hAnsi="楷体" w:eastAsia="仿宋_GB2312"/>
          <w:b/>
          <w:color w:val="000000" w:themeColor="text1"/>
          <w:sz w:val="32"/>
          <w:szCs w:val="32"/>
          <w14:textFill>
            <w14:solidFill>
              <w14:schemeClr w14:val="tx1"/>
            </w14:solidFill>
          </w14:textFill>
        </w:rPr>
        <w:t>（一）研究内容</w:t>
      </w:r>
    </w:p>
    <w:p>
      <w:pPr>
        <w:pStyle w:val="10"/>
        <w:adjustRightInd w:val="0"/>
        <w:snapToGrid w:val="0"/>
        <w:spacing w:line="360" w:lineRule="auto"/>
        <w:ind w:firstLine="640"/>
        <w:rPr>
          <w:rFonts w:ascii="仿宋_GB2312" w:eastAsia="仿宋_GB2312"/>
          <w:color w:val="000000" w:themeColor="text1"/>
          <w:spacing w:val="-23"/>
          <w:sz w:val="32"/>
          <w:szCs w:val="32"/>
          <w14:textFill>
            <w14:solidFill>
              <w14:schemeClr w14:val="tx1"/>
            </w14:solidFill>
          </w14:textFill>
        </w:rPr>
      </w:pPr>
      <w:r>
        <w:rPr>
          <w:rFonts w:hint="eastAsia" w:ascii="仿宋_GB2312" w:eastAsia="仿宋_GB2312"/>
          <w:color w:val="000000" w:themeColor="text1"/>
          <w:spacing w:val="-23"/>
          <w:sz w:val="32"/>
          <w:szCs w:val="32"/>
          <w14:textFill>
            <w14:solidFill>
              <w14:schemeClr w14:val="tx1"/>
            </w14:solidFill>
          </w14:textFill>
        </w:rPr>
        <w:t>1.低钠光卤石脱除硫酸根、硼、铁等杂质技术及脱水工艺研究；以盐湖低钠光卤石为原料，开展低能耗金属镁电解工艺研究；低钠光卤石电解制备金属镁电解质成分优化；低钠光卤石电解制备金属镁电解槽槽型和槽结构优化研究；低钠光卤石电解金属镁后高钾电解质提钾和余热回收利用技术。</w:t>
      </w:r>
    </w:p>
    <w:p>
      <w:pPr>
        <w:pStyle w:val="10"/>
        <w:adjustRightInd w:val="0"/>
        <w:snapToGrid w:val="0"/>
        <w:spacing w:line="360" w:lineRule="auto"/>
        <w:ind w:firstLine="640"/>
        <w:rPr>
          <w:rFonts w:ascii="仿宋_GB2312" w:eastAsia="仿宋_GB2312"/>
          <w:color w:val="000000" w:themeColor="text1"/>
          <w:spacing w:val="-23"/>
          <w:sz w:val="32"/>
          <w:szCs w:val="32"/>
          <w14:textFill>
            <w14:solidFill>
              <w14:schemeClr w14:val="tx1"/>
            </w14:solidFill>
          </w14:textFill>
        </w:rPr>
      </w:pPr>
      <w:r>
        <w:rPr>
          <w:rFonts w:hint="eastAsia" w:ascii="仿宋_GB2312" w:eastAsia="仿宋_GB2312"/>
          <w:color w:val="000000" w:themeColor="text1"/>
          <w:spacing w:val="-23"/>
          <w:sz w:val="32"/>
          <w:szCs w:val="32"/>
          <w14:textFill>
            <w14:solidFill>
              <w14:schemeClr w14:val="tx1"/>
            </w14:solidFill>
          </w14:textFill>
        </w:rPr>
        <w:t>2.或以盐湖氯化镁为原料研究制备金属镁或镁化合物。原料还可以采用低钠光卤石、铵光卤石、六氨络合物、氧化镁、低水氯化镁、无水氯化镁等。原料除杂（包括硫酸根、硼等）工艺研究。专用脱水系统、电解装备及电解工艺或其他工艺研究。</w:t>
      </w:r>
    </w:p>
    <w:p>
      <w:pPr>
        <w:adjustRightInd w:val="0"/>
        <w:snapToGrid w:val="0"/>
        <w:spacing w:line="360" w:lineRule="auto"/>
        <w:ind w:firstLine="643" w:firstLineChars="200"/>
        <w:rPr>
          <w:rFonts w:ascii="仿宋_GB2312" w:eastAsia="仿宋_GB2312"/>
          <w:b/>
          <w:color w:val="000000" w:themeColor="text1"/>
          <w:sz w:val="32"/>
          <w:szCs w:val="32"/>
          <w14:textFill>
            <w14:solidFill>
              <w14:schemeClr w14:val="tx1"/>
            </w14:solidFill>
          </w14:textFill>
        </w:rPr>
      </w:pPr>
      <w:r>
        <w:rPr>
          <w:rFonts w:hint="eastAsia" w:ascii="仿宋_GB2312" w:eastAsia="仿宋_GB2312"/>
          <w:b/>
          <w:color w:val="000000" w:themeColor="text1"/>
          <w:sz w:val="32"/>
          <w:szCs w:val="32"/>
          <w14:textFill>
            <w14:solidFill>
              <w14:schemeClr w14:val="tx1"/>
            </w14:solidFill>
          </w14:textFill>
        </w:rPr>
        <w:t>（二）预期目标</w:t>
      </w:r>
    </w:p>
    <w:p>
      <w:pPr>
        <w:adjustRightInd w:val="0"/>
        <w:snapToGrid w:val="0"/>
        <w:spacing w:line="360" w:lineRule="auto"/>
        <w:ind w:firstLine="560" w:firstLineChars="200"/>
        <w:rPr>
          <w:rFonts w:hint="eastAsia" w:ascii="仿宋_GB2312" w:eastAsia="仿宋_GB2312"/>
          <w:color w:val="000000" w:themeColor="text1"/>
          <w:spacing w:val="-20"/>
          <w:sz w:val="32"/>
          <w:szCs w:val="32"/>
          <w:lang w:eastAsia="zh-CN"/>
          <w14:textFill>
            <w14:solidFill>
              <w14:schemeClr w14:val="tx1"/>
            </w14:solidFill>
          </w14:textFill>
        </w:rPr>
      </w:pPr>
      <w:r>
        <w:rPr>
          <w:rFonts w:hint="eastAsia" w:ascii="仿宋_GB2312" w:eastAsia="仿宋_GB2312"/>
          <w:color w:val="000000" w:themeColor="text1"/>
          <w:spacing w:val="-20"/>
          <w:sz w:val="32"/>
          <w:szCs w:val="32"/>
          <w14:textFill>
            <w14:solidFill>
              <w14:schemeClr w14:val="tx1"/>
            </w14:solidFill>
          </w14:textFill>
        </w:rPr>
        <w:t>1.开发出一种以盐湖低钠光卤石为原料低成本金属镁制备工艺技术；设计30kA低钠光卤石电解生产金属镁电解槽槽型和槽结构；建立一条以低钠光卤石为原料，电解金属镁为主体的镁-热-钾联产工艺示范线</w:t>
      </w:r>
      <w:r>
        <w:rPr>
          <w:rFonts w:hint="eastAsia" w:ascii="仿宋_GB2312" w:eastAsia="仿宋_GB2312"/>
          <w:color w:val="000000" w:themeColor="text1"/>
          <w:spacing w:val="-20"/>
          <w:sz w:val="32"/>
          <w:szCs w:val="32"/>
          <w:lang w:eastAsia="zh-CN"/>
          <w14:textFill>
            <w14:solidFill>
              <w14:schemeClr w14:val="tx1"/>
            </w14:solidFill>
          </w14:textFill>
        </w:rPr>
        <w:t>；</w:t>
      </w:r>
    </w:p>
    <w:p>
      <w:pPr>
        <w:adjustRightInd w:val="0"/>
        <w:snapToGrid w:val="0"/>
        <w:spacing w:line="360" w:lineRule="auto"/>
        <w:ind w:firstLine="56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pacing w:val="-20"/>
          <w:sz w:val="32"/>
          <w:szCs w:val="32"/>
          <w14:textFill>
            <w14:solidFill>
              <w14:schemeClr w14:val="tx1"/>
            </w14:solidFill>
          </w14:textFill>
        </w:rPr>
        <w:t>2.或开发出一种低成本、低能耗的金属镁制备工艺技术或者一种低成本、低能耗镁化合物制备工艺技术</w:t>
      </w:r>
      <w:r>
        <w:rPr>
          <w:rFonts w:hint="eastAsia" w:ascii="仿宋_GB2312" w:eastAsia="仿宋_GB2312"/>
          <w:color w:val="000000" w:themeColor="text1"/>
          <w:spacing w:val="-20"/>
          <w:sz w:val="32"/>
          <w:szCs w:val="32"/>
          <w:lang w:eastAsia="zh-CN"/>
          <w14:textFill>
            <w14:solidFill>
              <w14:schemeClr w14:val="tx1"/>
            </w14:solidFill>
          </w14:textFill>
        </w:rPr>
        <w:t>；</w:t>
      </w:r>
      <w:r>
        <w:rPr>
          <w:rFonts w:hint="eastAsia" w:ascii="仿宋_GB2312" w:eastAsia="仿宋_GB2312"/>
          <w:color w:val="000000" w:themeColor="text1"/>
          <w:spacing w:val="-20"/>
          <w:sz w:val="32"/>
          <w:szCs w:val="32"/>
          <w14:textFill>
            <w14:solidFill>
              <w14:schemeClr w14:val="tx1"/>
            </w14:solidFill>
          </w14:textFill>
        </w:rPr>
        <w:t>除杂后原料符合电解金属镁或镁化合物制备需求</w:t>
      </w:r>
      <w:r>
        <w:rPr>
          <w:rFonts w:hint="eastAsia" w:ascii="仿宋_GB2312" w:eastAsia="仿宋_GB2312"/>
          <w:color w:val="000000" w:themeColor="text1"/>
          <w:spacing w:val="-20"/>
          <w:sz w:val="32"/>
          <w:szCs w:val="32"/>
          <w:lang w:eastAsia="zh-CN"/>
          <w14:textFill>
            <w14:solidFill>
              <w14:schemeClr w14:val="tx1"/>
            </w14:solidFill>
          </w14:textFill>
        </w:rPr>
        <w:t>；</w:t>
      </w:r>
      <w:r>
        <w:rPr>
          <w:rFonts w:hint="eastAsia" w:ascii="仿宋_GB2312" w:eastAsia="仿宋_GB2312"/>
          <w:color w:val="000000" w:themeColor="text1"/>
          <w:spacing w:val="-20"/>
          <w:sz w:val="32"/>
          <w:szCs w:val="32"/>
          <w14:textFill>
            <w14:solidFill>
              <w14:schemeClr w14:val="tx1"/>
            </w14:solidFill>
          </w14:textFill>
        </w:rPr>
        <w:t>开发出专用脱水、电解装备，建成一条盐湖炼镁或者镁化合物示范线。</w:t>
      </w:r>
    </w:p>
    <w:p>
      <w:pPr>
        <w:spacing w:line="360" w:lineRule="auto"/>
        <w:ind w:firstLine="643" w:firstLineChars="200"/>
        <w:rPr>
          <w:rFonts w:ascii="仿宋_GB2312" w:hAnsi="楷体" w:eastAsia="仿宋_GB2312"/>
          <w:b/>
          <w:color w:val="000000" w:themeColor="text1"/>
          <w:sz w:val="32"/>
          <w:szCs w:val="32"/>
          <w14:textFill>
            <w14:solidFill>
              <w14:schemeClr w14:val="tx1"/>
            </w14:solidFill>
          </w14:textFill>
        </w:rPr>
      </w:pPr>
      <w:r>
        <w:rPr>
          <w:rFonts w:hint="eastAsia" w:ascii="仿宋_GB2312" w:hAnsi="楷体" w:eastAsia="仿宋_GB2312"/>
          <w:b/>
          <w:color w:val="000000" w:themeColor="text1"/>
          <w:sz w:val="32"/>
          <w:szCs w:val="32"/>
          <w14:textFill>
            <w14:solidFill>
              <w14:schemeClr w14:val="tx1"/>
            </w14:solidFill>
          </w14:textFill>
        </w:rPr>
        <w:t>三、项目研究合作模式</w:t>
      </w:r>
    </w:p>
    <w:p>
      <w:pPr>
        <w:spacing w:line="360" w:lineRule="auto"/>
        <w:ind w:firstLine="560" w:firstLineChars="200"/>
        <w:rPr>
          <w:rFonts w:hint="eastAsia" w:ascii="仿宋_GB2312" w:hAnsi="仿宋" w:eastAsia="仿宋_GB2312"/>
          <w:color w:val="000000" w:themeColor="text1"/>
          <w:spacing w:val="-20"/>
          <w:sz w:val="32"/>
          <w:szCs w:val="32"/>
          <w14:textFill>
            <w14:solidFill>
              <w14:schemeClr w14:val="tx1"/>
            </w14:solidFill>
          </w14:textFill>
        </w:rPr>
      </w:pPr>
      <w:r>
        <w:rPr>
          <w:rFonts w:hint="eastAsia" w:ascii="仿宋_GB2312" w:hAnsi="仿宋" w:eastAsia="仿宋_GB2312"/>
          <w:color w:val="000000" w:themeColor="text1"/>
          <w:spacing w:val="-20"/>
          <w:sz w:val="32"/>
          <w:szCs w:val="32"/>
          <w14:textFill>
            <w14:solidFill>
              <w14:schemeClr w14:val="tx1"/>
            </w14:solidFill>
          </w14:textFill>
        </w:rPr>
        <w:t>本项目将由青海盐湖工业股份有限公司作为投资主体，通过“揭榜挂帅”的方式引进科研院所、高校、企业等进行联合攻关，或技术引进。</w:t>
      </w:r>
    </w:p>
    <w:p>
      <w:pPr>
        <w:rPr>
          <w:rFonts w:hint="eastAsia"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br w:type="page"/>
      </w:r>
    </w:p>
    <w:p>
      <w:pPr>
        <w:spacing w:line="360" w:lineRule="auto"/>
        <w:jc w:val="center"/>
        <w:rPr>
          <w:rFonts w:ascii="仿宋_GB2312" w:hAnsi="华文中宋" w:eastAsia="仿宋_GB2312"/>
          <w:b/>
          <w:color w:val="000000" w:themeColor="text1"/>
          <w:sz w:val="32"/>
          <w:szCs w:val="32"/>
          <w14:textFill>
            <w14:solidFill>
              <w14:schemeClr w14:val="tx1"/>
            </w14:solidFill>
          </w14:textFill>
        </w:rPr>
      </w:pPr>
      <w:r>
        <w:rPr>
          <w:rFonts w:hint="eastAsia" w:ascii="仿宋_GB2312" w:hAnsi="华文中宋" w:eastAsia="仿宋_GB2312"/>
          <w:b/>
          <w:color w:val="000000" w:themeColor="text1"/>
          <w:sz w:val="32"/>
          <w:szCs w:val="32"/>
          <w14:textFill>
            <w14:solidFill>
              <w14:schemeClr w14:val="tx1"/>
            </w14:solidFill>
          </w14:textFill>
        </w:rPr>
        <w:t>项目4  高收率低成本提锂工艺及锂盐产品开发技术</w:t>
      </w:r>
    </w:p>
    <w:p>
      <w:pPr>
        <w:numPr>
          <w:ilvl w:val="0"/>
          <w:numId w:val="0"/>
        </w:numPr>
        <w:spacing w:line="360" w:lineRule="auto"/>
        <w:ind w:firstLine="643" w:firstLineChars="200"/>
        <w:rPr>
          <w:rFonts w:ascii="仿宋_GB2312" w:hAnsi="宋体" w:eastAsia="仿宋_GB2312" w:cs="Times New Roman"/>
          <w:b/>
          <w:bCs/>
          <w:color w:val="000000" w:themeColor="text1"/>
          <w:sz w:val="32"/>
          <w:szCs w:val="32"/>
          <w14:textFill>
            <w14:solidFill>
              <w14:schemeClr w14:val="tx1"/>
            </w14:solidFill>
          </w14:textFill>
        </w:rPr>
      </w:pPr>
      <w:r>
        <w:rPr>
          <w:rFonts w:hint="eastAsia" w:ascii="仿宋_GB2312" w:hAnsi="宋体" w:eastAsia="仿宋_GB2312" w:cs="Times New Roman"/>
          <w:b/>
          <w:bCs/>
          <w:color w:val="000000" w:themeColor="text1"/>
          <w:sz w:val="32"/>
          <w:szCs w:val="32"/>
          <w:lang w:eastAsia="zh-CN"/>
          <w14:textFill>
            <w14:solidFill>
              <w14:schemeClr w14:val="tx1"/>
            </w14:solidFill>
          </w14:textFill>
        </w:rPr>
        <w:t>一、</w:t>
      </w:r>
      <w:r>
        <w:rPr>
          <w:rFonts w:hint="eastAsia" w:ascii="仿宋_GB2312" w:hAnsi="宋体" w:eastAsia="仿宋_GB2312" w:cs="Times New Roman"/>
          <w:b/>
          <w:bCs/>
          <w:color w:val="000000" w:themeColor="text1"/>
          <w:sz w:val="32"/>
          <w:szCs w:val="32"/>
          <w14:textFill>
            <w14:solidFill>
              <w14:schemeClr w14:val="tx1"/>
            </w14:solidFill>
          </w14:textFill>
        </w:rPr>
        <w:t>项目背景</w:t>
      </w:r>
    </w:p>
    <w:p>
      <w:pPr>
        <w:spacing w:line="360" w:lineRule="auto"/>
        <w:ind w:firstLine="548" w:firstLineChars="200"/>
        <w:rPr>
          <w:rFonts w:ascii="仿宋_GB2312" w:hAnsi="仿宋" w:eastAsia="仿宋_GB2312" w:cs="Times New Roman"/>
          <w:color w:val="000000" w:themeColor="text1"/>
          <w:spacing w:val="-23"/>
          <w:sz w:val="32"/>
          <w:szCs w:val="32"/>
          <w14:textFill>
            <w14:solidFill>
              <w14:schemeClr w14:val="tx1"/>
            </w14:solidFill>
          </w14:textFill>
        </w:rPr>
      </w:pPr>
      <w:r>
        <w:rPr>
          <w:rFonts w:hint="eastAsia" w:ascii="仿宋_GB2312" w:hAnsi="仿宋" w:eastAsia="仿宋_GB2312" w:cs="Times New Roman"/>
          <w:color w:val="000000" w:themeColor="text1"/>
          <w:spacing w:val="-23"/>
          <w:sz w:val="32"/>
          <w:szCs w:val="32"/>
          <w14:textFill>
            <w14:solidFill>
              <w14:schemeClr w14:val="tx1"/>
            </w14:solidFill>
          </w14:textFill>
        </w:rPr>
        <w:t>察尔汗盐湖是我国最大的盐湖，氯化锂资源约占我国卤水锂资源的50%，其锂资源呈现“储量大、含量低、高镁锂比”的基本特点。随着，国家制订“碳达峰、碳中和”的目标，锂产品的需求将大规模增加。</w:t>
      </w:r>
    </w:p>
    <w:p>
      <w:pPr>
        <w:spacing w:line="360" w:lineRule="auto"/>
        <w:ind w:firstLine="548" w:firstLineChars="200"/>
        <w:rPr>
          <w:rFonts w:hint="eastAsia" w:ascii="仿宋_GB2312" w:hAnsi="仿宋" w:eastAsia="仿宋_GB2312" w:cs="Times New Roman"/>
          <w:color w:val="000000" w:themeColor="text1"/>
          <w:spacing w:val="-23"/>
          <w:sz w:val="32"/>
          <w:szCs w:val="32"/>
          <w14:textFill>
            <w14:solidFill>
              <w14:schemeClr w14:val="tx1"/>
            </w14:solidFill>
          </w14:textFill>
        </w:rPr>
      </w:pPr>
      <w:r>
        <w:rPr>
          <w:rFonts w:hint="eastAsia" w:ascii="仿宋_GB2312" w:hAnsi="仿宋" w:eastAsia="仿宋_GB2312" w:cs="Times New Roman"/>
          <w:color w:val="000000" w:themeColor="text1"/>
          <w:spacing w:val="-23"/>
          <w:sz w:val="32"/>
          <w:szCs w:val="32"/>
          <w14:textFill>
            <w14:solidFill>
              <w14:schemeClr w14:val="tx1"/>
            </w14:solidFill>
          </w14:textFill>
        </w:rPr>
        <w:t>青海盐湖工业股份有限公司针对察尔汗盐湖超低含量超高镁锂比特点，经过数十年的不断探索、联合攻关，开发出了适用于察尔汗卤水工况的锂吸附剂，摸索出了适合察尔汗盐湖提锂高锂母液沉锂、洗涤等工序的工艺条件，开发出了吸附剂制备方法及设备，最终形成“吸附+膜耦合”产业化技术，建成万吨级产业装置。为进一步提升资源利用率，实现盐湖提锂技术提升，需</w:t>
      </w:r>
      <w:r>
        <w:rPr>
          <w:rFonts w:ascii="仿宋_GB2312" w:hAnsi="仿宋" w:eastAsia="仿宋_GB2312" w:cs="Times New Roman"/>
          <w:color w:val="000000" w:themeColor="text1"/>
          <w:spacing w:val="-23"/>
          <w:sz w:val="32"/>
          <w:szCs w:val="32"/>
          <w14:textFill>
            <w14:solidFill>
              <w14:schemeClr w14:val="tx1"/>
            </w14:solidFill>
          </w14:textFill>
        </w:rPr>
        <w:t>不断</w:t>
      </w:r>
      <w:r>
        <w:rPr>
          <w:rFonts w:hint="eastAsia" w:ascii="仿宋_GB2312" w:hAnsi="仿宋" w:eastAsia="仿宋_GB2312" w:cs="Times New Roman"/>
          <w:color w:val="000000" w:themeColor="text1"/>
          <w:spacing w:val="-23"/>
          <w:sz w:val="32"/>
          <w:szCs w:val="32"/>
          <w14:textFill>
            <w14:solidFill>
              <w14:schemeClr w14:val="tx1"/>
            </w14:solidFill>
          </w14:textFill>
        </w:rPr>
        <w:t>优化卤水提锂工艺，突破低成本电池级锂盐生产技术，发展高纯氯化锂、氢氧化锂等锂盐产品，持续提升盐湖资源开发和资源利用水平。</w:t>
      </w:r>
    </w:p>
    <w:p>
      <w:pPr>
        <w:spacing w:line="360" w:lineRule="auto"/>
        <w:ind w:firstLine="643" w:firstLineChars="200"/>
        <w:rPr>
          <w:rFonts w:ascii="仿宋_GB2312" w:hAnsi="宋体" w:eastAsia="仿宋_GB2312" w:cs="Times New Roman"/>
          <w:b/>
          <w:bCs/>
          <w:color w:val="000000" w:themeColor="text1"/>
          <w:sz w:val="32"/>
          <w:szCs w:val="32"/>
          <w14:textFill>
            <w14:solidFill>
              <w14:schemeClr w14:val="tx1"/>
            </w14:solidFill>
          </w14:textFill>
        </w:rPr>
      </w:pPr>
      <w:r>
        <w:rPr>
          <w:rFonts w:hint="eastAsia" w:ascii="仿宋_GB2312" w:hAnsi="宋体" w:eastAsia="仿宋_GB2312" w:cs="Times New Roman"/>
          <w:b/>
          <w:bCs/>
          <w:color w:val="000000" w:themeColor="text1"/>
          <w:sz w:val="32"/>
          <w:szCs w:val="32"/>
          <w14:textFill>
            <w14:solidFill>
              <w14:schemeClr w14:val="tx1"/>
            </w14:solidFill>
          </w14:textFill>
        </w:rPr>
        <w:t>二、项目研究内容、预期目标</w:t>
      </w:r>
    </w:p>
    <w:p>
      <w:pPr>
        <w:spacing w:line="360" w:lineRule="auto"/>
        <w:ind w:firstLine="643" w:firstLineChars="200"/>
        <w:rPr>
          <w:rFonts w:ascii="仿宋_GB2312" w:hAnsi="楷体" w:eastAsia="仿宋_GB2312" w:cs="Times New Roman"/>
          <w:b/>
          <w:color w:val="000000" w:themeColor="text1"/>
          <w:sz w:val="32"/>
          <w:szCs w:val="32"/>
          <w14:textFill>
            <w14:solidFill>
              <w14:schemeClr w14:val="tx1"/>
            </w14:solidFill>
          </w14:textFill>
        </w:rPr>
      </w:pPr>
      <w:r>
        <w:rPr>
          <w:rFonts w:hint="eastAsia" w:ascii="仿宋_GB2312" w:hAnsi="宋体" w:eastAsia="仿宋_GB2312" w:cs="Times New Roman"/>
          <w:b/>
          <w:color w:val="000000" w:themeColor="text1"/>
          <w:sz w:val="32"/>
          <w:szCs w:val="32"/>
          <w14:textFill>
            <w14:solidFill>
              <w14:schemeClr w14:val="tx1"/>
            </w14:solidFill>
          </w14:textFill>
        </w:rPr>
        <w:t>（一）研究内容</w:t>
      </w:r>
    </w:p>
    <w:p>
      <w:pPr>
        <w:spacing w:line="360" w:lineRule="auto"/>
        <w:ind w:firstLine="560" w:firstLineChars="200"/>
        <w:rPr>
          <w:rFonts w:ascii="仿宋_GB2312" w:hAnsi="宋体" w:eastAsia="仿宋_GB2312" w:cs="Times New Roman"/>
          <w:color w:val="000000" w:themeColor="text1"/>
          <w:spacing w:val="-20"/>
          <w:sz w:val="32"/>
          <w:szCs w:val="32"/>
          <w14:textFill>
            <w14:solidFill>
              <w14:schemeClr w14:val="tx1"/>
            </w14:solidFill>
          </w14:textFill>
        </w:rPr>
      </w:pPr>
      <w:r>
        <w:rPr>
          <w:rFonts w:hint="eastAsia" w:ascii="仿宋_GB2312" w:hAnsi="宋体" w:eastAsia="仿宋_GB2312" w:cs="Times New Roman"/>
          <w:color w:val="000000" w:themeColor="text1"/>
          <w:spacing w:val="-20"/>
          <w:sz w:val="32"/>
          <w:szCs w:val="32"/>
          <w14:textFill>
            <w14:solidFill>
              <w14:schemeClr w14:val="tx1"/>
            </w14:solidFill>
          </w14:textFill>
        </w:rPr>
        <w:t>1.适合察尔汗盐湖超高镁锂比卤水及盐湖生态保护性开发利用的高容量、高收率吸附剂（提锂形式、类型、物质可以不限）;</w:t>
      </w:r>
    </w:p>
    <w:p>
      <w:pPr>
        <w:spacing w:line="360" w:lineRule="auto"/>
        <w:ind w:firstLine="560" w:firstLineChars="200"/>
        <w:rPr>
          <w:rFonts w:ascii="仿宋_GB2312" w:hAnsi="宋体" w:eastAsia="仿宋_GB2312" w:cs="Times New Roman"/>
          <w:color w:val="000000" w:themeColor="text1"/>
          <w:sz w:val="32"/>
          <w:szCs w:val="32"/>
          <w14:textFill>
            <w14:solidFill>
              <w14:schemeClr w14:val="tx1"/>
            </w14:solidFill>
          </w14:textFill>
        </w:rPr>
      </w:pPr>
      <w:r>
        <w:rPr>
          <w:rFonts w:hint="eastAsia" w:ascii="仿宋_GB2312" w:hAnsi="宋体" w:eastAsia="仿宋_GB2312" w:cs="Times New Roman"/>
          <w:color w:val="000000" w:themeColor="text1"/>
          <w:spacing w:val="-20"/>
          <w:sz w:val="32"/>
          <w:szCs w:val="32"/>
          <w14:textFill>
            <w14:solidFill>
              <w14:schemeClr w14:val="tx1"/>
            </w14:solidFill>
          </w14:textFill>
        </w:rPr>
        <w:t>2.建设一条高收率低成本的提锂示范线。</w:t>
      </w:r>
    </w:p>
    <w:p>
      <w:pPr>
        <w:spacing w:line="360" w:lineRule="auto"/>
        <w:ind w:firstLine="643" w:firstLineChars="200"/>
        <w:rPr>
          <w:rFonts w:ascii="仿宋_GB2312" w:hAnsi="楷体" w:eastAsia="仿宋_GB2312" w:cs="Times New Roman"/>
          <w:b/>
          <w:color w:val="000000" w:themeColor="text1"/>
          <w:sz w:val="32"/>
          <w:szCs w:val="32"/>
          <w14:textFill>
            <w14:solidFill>
              <w14:schemeClr w14:val="tx1"/>
            </w14:solidFill>
          </w14:textFill>
        </w:rPr>
      </w:pPr>
      <w:r>
        <w:rPr>
          <w:rFonts w:hint="eastAsia" w:ascii="仿宋_GB2312" w:hAnsi="楷体" w:eastAsia="仿宋_GB2312" w:cs="Times New Roman"/>
          <w:b/>
          <w:color w:val="000000" w:themeColor="text1"/>
          <w:sz w:val="32"/>
          <w:szCs w:val="32"/>
          <w14:textFill>
            <w14:solidFill>
              <w14:schemeClr w14:val="tx1"/>
            </w14:solidFill>
          </w14:textFill>
        </w:rPr>
        <w:t>（二）预期目标</w:t>
      </w:r>
    </w:p>
    <w:p>
      <w:pPr>
        <w:spacing w:line="360" w:lineRule="auto"/>
        <w:ind w:firstLine="560" w:firstLineChars="200"/>
        <w:rPr>
          <w:rFonts w:hint="eastAsia" w:ascii="仿宋_GB2312" w:hAnsi="宋体" w:eastAsia="仿宋_GB2312" w:cs="Times New Roman"/>
          <w:color w:val="000000" w:themeColor="text1"/>
          <w:spacing w:val="-20"/>
          <w:sz w:val="32"/>
          <w:szCs w:val="32"/>
          <w:lang w:eastAsia="zh-CN"/>
          <w14:textFill>
            <w14:solidFill>
              <w14:schemeClr w14:val="tx1"/>
            </w14:solidFill>
          </w14:textFill>
        </w:rPr>
      </w:pPr>
      <w:r>
        <w:rPr>
          <w:rFonts w:hint="eastAsia" w:ascii="仿宋_GB2312" w:hAnsi="宋体" w:eastAsia="仿宋_GB2312" w:cs="Times New Roman"/>
          <w:color w:val="000000" w:themeColor="text1"/>
          <w:spacing w:val="-20"/>
          <w:sz w:val="32"/>
          <w:szCs w:val="32"/>
          <w14:textFill>
            <w14:solidFill>
              <w14:schemeClr w14:val="tx1"/>
            </w14:solidFill>
          </w14:textFill>
        </w:rPr>
        <w:t>1.综合收率</w:t>
      </w:r>
      <w:r>
        <w:rPr>
          <w:rFonts w:hint="eastAsia" w:ascii="宋体" w:hAnsi="宋体" w:eastAsia="宋体" w:cs="宋体"/>
          <w:color w:val="000000" w:themeColor="text1"/>
          <w:spacing w:val="-20"/>
          <w:sz w:val="32"/>
          <w:szCs w:val="32"/>
          <w14:textFill>
            <w14:solidFill>
              <w14:schemeClr w14:val="tx1"/>
            </w14:solidFill>
          </w14:textFill>
        </w:rPr>
        <w:t>≧</w:t>
      </w:r>
      <w:r>
        <w:rPr>
          <w:rFonts w:hint="eastAsia" w:ascii="仿宋_GB2312" w:hAnsi="宋体" w:eastAsia="仿宋_GB2312" w:cs="Times New Roman"/>
          <w:color w:val="000000" w:themeColor="text1"/>
          <w:spacing w:val="-20"/>
          <w:sz w:val="32"/>
          <w:szCs w:val="32"/>
          <w14:textFill>
            <w14:solidFill>
              <w14:schemeClr w14:val="tx1"/>
            </w14:solidFill>
          </w14:textFill>
        </w:rPr>
        <w:t>65%</w:t>
      </w:r>
      <w:r>
        <w:rPr>
          <w:rFonts w:hint="eastAsia" w:ascii="仿宋_GB2312" w:hAnsi="宋体" w:eastAsia="仿宋_GB2312" w:cs="Times New Roman"/>
          <w:color w:val="000000" w:themeColor="text1"/>
          <w:spacing w:val="-20"/>
          <w:sz w:val="32"/>
          <w:szCs w:val="32"/>
          <w:lang w:eastAsia="zh-CN"/>
          <w14:textFill>
            <w14:solidFill>
              <w14:schemeClr w14:val="tx1"/>
            </w14:solidFill>
          </w14:textFill>
        </w:rPr>
        <w:t>；</w:t>
      </w:r>
    </w:p>
    <w:p>
      <w:pPr>
        <w:spacing w:line="360" w:lineRule="auto"/>
        <w:ind w:firstLine="560" w:firstLineChars="200"/>
        <w:rPr>
          <w:rFonts w:ascii="仿宋_GB2312" w:hAnsi="宋体" w:eastAsia="仿宋_GB2312" w:cs="Times New Roman"/>
          <w:color w:val="000000" w:themeColor="text1"/>
          <w:spacing w:val="-20"/>
          <w:sz w:val="32"/>
          <w:szCs w:val="32"/>
          <w14:textFill>
            <w14:solidFill>
              <w14:schemeClr w14:val="tx1"/>
            </w14:solidFill>
          </w14:textFill>
        </w:rPr>
      </w:pPr>
      <w:r>
        <w:rPr>
          <w:rFonts w:hint="eastAsia" w:ascii="仿宋_GB2312" w:hAnsi="宋体" w:eastAsia="仿宋_GB2312" w:cs="Times New Roman"/>
          <w:color w:val="000000" w:themeColor="text1"/>
          <w:spacing w:val="-20"/>
          <w:sz w:val="32"/>
          <w:szCs w:val="32"/>
          <w14:textFill>
            <w14:solidFill>
              <w14:schemeClr w14:val="tx1"/>
            </w14:solidFill>
          </w14:textFill>
        </w:rPr>
        <w:t>2.形成高收率生产示范线一条。</w:t>
      </w:r>
    </w:p>
    <w:p>
      <w:pPr>
        <w:spacing w:line="360" w:lineRule="auto"/>
        <w:ind w:firstLine="643" w:firstLineChars="200"/>
        <w:rPr>
          <w:rFonts w:ascii="仿宋_GB2312" w:hAnsi="楷体" w:eastAsia="仿宋_GB2312" w:cs="Times New Roman"/>
          <w:b/>
          <w:color w:val="000000" w:themeColor="text1"/>
          <w:sz w:val="32"/>
          <w:szCs w:val="32"/>
          <w14:textFill>
            <w14:solidFill>
              <w14:schemeClr w14:val="tx1"/>
            </w14:solidFill>
          </w14:textFill>
        </w:rPr>
      </w:pPr>
      <w:r>
        <w:rPr>
          <w:rFonts w:hint="eastAsia" w:ascii="仿宋_GB2312" w:hAnsi="楷体" w:eastAsia="仿宋_GB2312" w:cs="Times New Roman"/>
          <w:b/>
          <w:color w:val="000000" w:themeColor="text1"/>
          <w:sz w:val="32"/>
          <w:szCs w:val="32"/>
          <w14:textFill>
            <w14:solidFill>
              <w14:schemeClr w14:val="tx1"/>
            </w14:solidFill>
          </w14:textFill>
        </w:rPr>
        <w:t>三、项目研究合作模式</w:t>
      </w:r>
    </w:p>
    <w:p>
      <w:pPr>
        <w:spacing w:line="360" w:lineRule="auto"/>
        <w:ind w:firstLine="560" w:firstLineChars="200"/>
        <w:rPr>
          <w:rFonts w:hint="eastAsia" w:ascii="仿宋_GB2312" w:hAnsi="仿宋" w:eastAsia="仿宋_GB2312" w:cs="Times New Roman"/>
          <w:color w:val="000000" w:themeColor="text1"/>
          <w:spacing w:val="-20"/>
          <w:sz w:val="32"/>
          <w:szCs w:val="32"/>
          <w14:textFill>
            <w14:solidFill>
              <w14:schemeClr w14:val="tx1"/>
            </w14:solidFill>
          </w14:textFill>
        </w:rPr>
      </w:pPr>
      <w:r>
        <w:rPr>
          <w:rFonts w:hint="eastAsia" w:ascii="仿宋_GB2312" w:hAnsi="仿宋" w:eastAsia="仿宋_GB2312" w:cs="Times New Roman"/>
          <w:color w:val="000000" w:themeColor="text1"/>
          <w:spacing w:val="-20"/>
          <w:sz w:val="32"/>
          <w:szCs w:val="32"/>
          <w14:textFill>
            <w14:solidFill>
              <w14:schemeClr w14:val="tx1"/>
            </w14:solidFill>
          </w14:textFill>
        </w:rPr>
        <w:t>本项目将由青海盐湖工业股份有限公司作为投资主体，通过“揭榜挂帅”的方式引进科研院所、高校、企业等进行联合攻关，或技术引进。</w:t>
      </w:r>
    </w:p>
    <w:p>
      <w:pPr>
        <w:rPr>
          <w:rFonts w:hint="eastAsia" w:ascii="仿宋_GB2312" w:hAnsi="仿宋" w:eastAsia="仿宋_GB2312" w:cs="Times New Roman"/>
          <w:color w:val="000000" w:themeColor="text1"/>
          <w:sz w:val="32"/>
          <w:szCs w:val="32"/>
          <w14:textFill>
            <w14:solidFill>
              <w14:schemeClr w14:val="tx1"/>
            </w14:solidFill>
          </w14:textFill>
        </w:rPr>
      </w:pPr>
      <w:r>
        <w:rPr>
          <w:rFonts w:hint="eastAsia" w:ascii="仿宋_GB2312" w:hAnsi="仿宋" w:eastAsia="仿宋_GB2312" w:cs="Times New Roman"/>
          <w:color w:val="000000" w:themeColor="text1"/>
          <w:sz w:val="32"/>
          <w:szCs w:val="32"/>
          <w14:textFill>
            <w14:solidFill>
              <w14:schemeClr w14:val="tx1"/>
            </w14:solidFill>
          </w14:textFill>
        </w:rPr>
        <w:br w:type="page"/>
      </w:r>
    </w:p>
    <w:p>
      <w:pPr>
        <w:spacing w:line="360" w:lineRule="auto"/>
        <w:jc w:val="center"/>
        <w:rPr>
          <w:rFonts w:ascii="仿宋_GB2312" w:hAnsi="华文中宋" w:eastAsia="仿宋_GB2312"/>
          <w:b/>
          <w:color w:val="000000" w:themeColor="text1"/>
          <w:sz w:val="32"/>
          <w:szCs w:val="32"/>
          <w14:textFill>
            <w14:solidFill>
              <w14:schemeClr w14:val="tx1"/>
            </w14:solidFill>
          </w14:textFill>
        </w:rPr>
      </w:pPr>
      <w:r>
        <w:rPr>
          <w:rFonts w:hint="eastAsia" w:ascii="仿宋_GB2312" w:hAnsi="华文中宋" w:eastAsia="仿宋_GB2312"/>
          <w:b/>
          <w:color w:val="000000" w:themeColor="text1"/>
          <w:sz w:val="32"/>
          <w:szCs w:val="32"/>
          <w14:textFill>
            <w14:solidFill>
              <w14:schemeClr w14:val="tx1"/>
            </w14:solidFill>
          </w14:textFill>
        </w:rPr>
        <w:t>项目5  盐湖资源高效开发、梯级利用技术</w:t>
      </w:r>
    </w:p>
    <w:p>
      <w:pPr>
        <w:spacing w:line="360" w:lineRule="auto"/>
        <w:ind w:firstLine="643" w:firstLineChars="200"/>
        <w:rPr>
          <w:rFonts w:ascii="仿宋_GB2312" w:hAnsi="黑体" w:eastAsia="仿宋_GB2312"/>
          <w:b/>
          <w:color w:val="000000" w:themeColor="text1"/>
          <w:sz w:val="32"/>
          <w:szCs w:val="32"/>
          <w14:textFill>
            <w14:solidFill>
              <w14:schemeClr w14:val="tx1"/>
            </w14:solidFill>
          </w14:textFill>
        </w:rPr>
      </w:pPr>
      <w:r>
        <w:rPr>
          <w:rFonts w:hint="eastAsia" w:ascii="仿宋_GB2312" w:hAnsi="黑体" w:eastAsia="仿宋_GB2312"/>
          <w:b/>
          <w:color w:val="000000" w:themeColor="text1"/>
          <w:sz w:val="32"/>
          <w:szCs w:val="32"/>
          <w14:textFill>
            <w14:solidFill>
              <w14:schemeClr w14:val="tx1"/>
            </w14:solidFill>
          </w14:textFill>
        </w:rPr>
        <w:t>一、项目立项背景</w:t>
      </w:r>
    </w:p>
    <w:p>
      <w:pPr>
        <w:spacing w:line="360" w:lineRule="auto"/>
        <w:ind w:firstLine="560" w:firstLineChars="200"/>
        <w:rPr>
          <w:rFonts w:ascii="仿宋_GB2312" w:hAnsi="楷体" w:eastAsia="仿宋_GB2312"/>
          <w:color w:val="000000" w:themeColor="text1"/>
          <w:spacing w:val="-20"/>
          <w:sz w:val="32"/>
          <w:szCs w:val="32"/>
          <w14:textFill>
            <w14:solidFill>
              <w14:schemeClr w14:val="tx1"/>
            </w14:solidFill>
          </w14:textFill>
        </w:rPr>
      </w:pPr>
      <w:r>
        <w:rPr>
          <w:rFonts w:hint="eastAsia" w:ascii="仿宋_GB2312" w:hAnsi="楷体" w:eastAsia="仿宋_GB2312"/>
          <w:color w:val="000000" w:themeColor="text1"/>
          <w:spacing w:val="-20"/>
          <w:sz w:val="32"/>
          <w:szCs w:val="32"/>
          <w14:textFill>
            <w14:solidFill>
              <w14:schemeClr w14:val="tx1"/>
            </w14:solidFill>
          </w14:textFill>
        </w:rPr>
        <w:t>青海盐湖工业股份有限公司（以下简称“盐湖股份”）依法拥有察尔汗盐湖别勒滩及察尔汗盐湖钾镁盐矿采矿权，矿区面积约3700</w:t>
      </w:r>
      <w:r>
        <w:rPr>
          <w:rFonts w:hint="eastAsia" w:ascii="仿宋_GB2312" w:hAnsi="楷体" w:eastAsia="仿宋_GB2312"/>
          <w:color w:val="000000" w:themeColor="text1"/>
          <w:spacing w:val="-20"/>
          <w:sz w:val="32"/>
          <w:szCs w:val="32"/>
          <w:lang w:val="en-US" w:eastAsia="zh-CN"/>
          <w14:textFill>
            <w14:solidFill>
              <w14:schemeClr w14:val="tx1"/>
            </w14:solidFill>
          </w14:textFill>
        </w:rPr>
        <w:t>k</w:t>
      </w:r>
      <w:r>
        <w:rPr>
          <w:rFonts w:hint="eastAsia" w:ascii="仿宋_GB2312" w:hAnsi="楷体" w:eastAsia="仿宋_GB2312"/>
          <w:color w:val="000000" w:themeColor="text1"/>
          <w:spacing w:val="-20"/>
          <w:sz w:val="32"/>
          <w:szCs w:val="32"/>
          <w14:textFill>
            <w14:solidFill>
              <w14:schemeClr w14:val="tx1"/>
            </w14:solidFill>
          </w14:textFill>
        </w:rPr>
        <w:t>m</w:t>
      </w:r>
      <w:r>
        <w:rPr>
          <w:rFonts w:hint="eastAsia" w:ascii="仿宋_GB2312" w:hAnsi="楷体" w:eastAsia="仿宋_GB2312"/>
          <w:color w:val="000000" w:themeColor="text1"/>
          <w:spacing w:val="-20"/>
          <w:sz w:val="32"/>
          <w:szCs w:val="32"/>
          <w:vertAlign w:val="superscript"/>
          <w14:textFill>
            <w14:solidFill>
              <w14:schemeClr w14:val="tx1"/>
            </w14:solidFill>
          </w14:textFill>
        </w:rPr>
        <w:t>2</w:t>
      </w:r>
      <w:r>
        <w:rPr>
          <w:rFonts w:hint="eastAsia" w:ascii="仿宋_GB2312" w:hAnsi="楷体" w:eastAsia="仿宋_GB2312"/>
          <w:color w:val="000000" w:themeColor="text1"/>
          <w:spacing w:val="-20"/>
          <w:sz w:val="32"/>
          <w:szCs w:val="32"/>
          <w14:textFill>
            <w14:solidFill>
              <w14:schemeClr w14:val="tx1"/>
            </w14:solidFill>
          </w14:textFill>
        </w:rPr>
        <w:t>,察尔汗盐湖是中国最大的可溶性钾镁盐矿床。湖中蕴藏着极为丰富的钾、钠、镁、锂、硼、溴、碘、铷、铯等自然资源，整个察尔汗盐湖潜在的开发价值超过12万亿元，是我国发展盐化工的战略宝地。</w:t>
      </w:r>
    </w:p>
    <w:p>
      <w:pPr>
        <w:spacing w:line="360" w:lineRule="auto"/>
        <w:ind w:firstLine="560" w:firstLineChars="200"/>
        <w:rPr>
          <w:rFonts w:ascii="仿宋_GB2312" w:hAnsi="楷体" w:eastAsia="仿宋_GB2312"/>
          <w:color w:val="000000" w:themeColor="text1"/>
          <w:spacing w:val="-20"/>
          <w:sz w:val="32"/>
          <w:szCs w:val="32"/>
          <w14:textFill>
            <w14:solidFill>
              <w14:schemeClr w14:val="tx1"/>
            </w14:solidFill>
          </w14:textFill>
        </w:rPr>
      </w:pPr>
      <w:r>
        <w:rPr>
          <w:rFonts w:hint="eastAsia" w:ascii="仿宋_GB2312" w:hAnsi="楷体" w:eastAsia="仿宋_GB2312"/>
          <w:color w:val="000000" w:themeColor="text1"/>
          <w:spacing w:val="-20"/>
          <w:sz w:val="32"/>
          <w:szCs w:val="32"/>
          <w14:textFill>
            <w14:solidFill>
              <w14:schemeClr w14:val="tx1"/>
            </w14:solidFill>
          </w14:textFill>
        </w:rPr>
        <w:t>青海盐湖工业股份有限公司作为建设世界级盐湖产业基地的骨干企业，在钾资源开发利用上处于行业的引领者，经过六十多年的发展，建成中国最大的钾肥生产基地；目前公司拥有年产500万吨氯化钾生产能力，及年产</w:t>
      </w:r>
      <w:r>
        <w:rPr>
          <w:rFonts w:ascii="仿宋_GB2312" w:hAnsi="楷体" w:eastAsia="仿宋_GB2312"/>
          <w:color w:val="000000" w:themeColor="text1"/>
          <w:spacing w:val="-20"/>
          <w:sz w:val="32"/>
          <w:szCs w:val="32"/>
          <w14:textFill>
            <w14:solidFill>
              <w14:schemeClr w14:val="tx1"/>
            </w14:solidFill>
          </w14:textFill>
        </w:rPr>
        <w:t>3</w:t>
      </w:r>
      <w:r>
        <w:rPr>
          <w:rFonts w:hint="eastAsia" w:ascii="仿宋_GB2312" w:hAnsi="楷体" w:eastAsia="仿宋_GB2312"/>
          <w:color w:val="000000" w:themeColor="text1"/>
          <w:spacing w:val="-20"/>
          <w:sz w:val="32"/>
          <w:szCs w:val="32"/>
          <w14:textFill>
            <w14:solidFill>
              <w14:schemeClr w14:val="tx1"/>
            </w14:solidFill>
          </w14:textFill>
        </w:rPr>
        <w:t>万吨碳酸锂的生产能力。因此开展盐湖卤水资源的高效开发和微量元素的梯级利用技术研究，可以有助于公司在稳定主业的同时，将资源开发逐步转向纵深发展，实现产品多元化和深加工，加快盐湖卤水资源的综合利用，优化资源配置、延长产业链，提高企业竞争力，壮大青海盐湖资源开发优势产业和盐湖化工支柱产业，助推世界级盐湖产业基地建设进程。</w:t>
      </w:r>
    </w:p>
    <w:p>
      <w:pPr>
        <w:spacing w:line="360" w:lineRule="auto"/>
        <w:ind w:firstLine="643" w:firstLineChars="200"/>
        <w:rPr>
          <w:rFonts w:ascii="仿宋_GB2312" w:hAnsi="黑体" w:eastAsia="仿宋_GB2312"/>
          <w:b/>
          <w:color w:val="000000" w:themeColor="text1"/>
          <w:sz w:val="32"/>
          <w:szCs w:val="32"/>
          <w14:textFill>
            <w14:solidFill>
              <w14:schemeClr w14:val="tx1"/>
            </w14:solidFill>
          </w14:textFill>
        </w:rPr>
      </w:pPr>
      <w:r>
        <w:rPr>
          <w:rFonts w:hint="eastAsia" w:ascii="仿宋_GB2312" w:hAnsi="黑体" w:eastAsia="仿宋_GB2312"/>
          <w:b/>
          <w:color w:val="000000" w:themeColor="text1"/>
          <w:sz w:val="32"/>
          <w:szCs w:val="32"/>
          <w14:textFill>
            <w14:solidFill>
              <w14:schemeClr w14:val="tx1"/>
            </w14:solidFill>
          </w14:textFill>
        </w:rPr>
        <w:t>二、</w:t>
      </w:r>
      <w:r>
        <w:rPr>
          <w:rFonts w:hint="eastAsia" w:ascii="仿宋_GB2312" w:hAnsi="楷体" w:eastAsia="仿宋_GB2312"/>
          <w:b/>
          <w:color w:val="000000" w:themeColor="text1"/>
          <w:sz w:val="32"/>
          <w:szCs w:val="32"/>
          <w14:textFill>
            <w14:solidFill>
              <w14:schemeClr w14:val="tx1"/>
            </w14:solidFill>
          </w14:textFill>
        </w:rPr>
        <w:t>项目研究内容及预期目标</w:t>
      </w:r>
    </w:p>
    <w:p>
      <w:pPr>
        <w:spacing w:line="360" w:lineRule="auto"/>
        <w:ind w:firstLine="643" w:firstLineChars="200"/>
        <w:rPr>
          <w:rFonts w:ascii="仿宋_GB2312" w:hAnsi="楷体" w:eastAsia="仿宋_GB2312"/>
          <w:color w:val="000000" w:themeColor="text1"/>
          <w:sz w:val="32"/>
          <w:szCs w:val="32"/>
          <w14:textFill>
            <w14:solidFill>
              <w14:schemeClr w14:val="tx1"/>
            </w14:solidFill>
          </w14:textFill>
        </w:rPr>
      </w:pPr>
      <w:r>
        <w:rPr>
          <w:rFonts w:hint="eastAsia" w:ascii="仿宋_GB2312" w:hAnsi="楷体" w:eastAsia="仿宋_GB2312"/>
          <w:b/>
          <w:color w:val="000000" w:themeColor="text1"/>
          <w:sz w:val="32"/>
          <w:szCs w:val="32"/>
          <w14:textFill>
            <w14:solidFill>
              <w14:schemeClr w14:val="tx1"/>
            </w14:solidFill>
          </w14:textFill>
        </w:rPr>
        <w:t>（一）研究内容</w:t>
      </w:r>
    </w:p>
    <w:p>
      <w:pPr>
        <w:spacing w:line="360" w:lineRule="auto"/>
        <w:ind w:firstLine="567"/>
        <w:rPr>
          <w:rFonts w:ascii="仿宋_GB2312" w:hAnsi="楷体" w:eastAsia="仿宋_GB2312"/>
          <w:color w:val="000000" w:themeColor="text1"/>
          <w:spacing w:val="-20"/>
          <w:sz w:val="32"/>
          <w:szCs w:val="32"/>
          <w14:textFill>
            <w14:solidFill>
              <w14:schemeClr w14:val="tx1"/>
            </w14:solidFill>
          </w14:textFill>
        </w:rPr>
      </w:pPr>
      <w:bookmarkStart w:id="0" w:name="_Hlk70257980"/>
      <w:r>
        <w:rPr>
          <w:rFonts w:hint="eastAsia" w:ascii="仿宋_GB2312" w:hAnsi="楷体" w:eastAsia="仿宋_GB2312"/>
          <w:color w:val="000000" w:themeColor="text1"/>
          <w:spacing w:val="-20"/>
          <w:sz w:val="32"/>
          <w:szCs w:val="32"/>
          <w14:textFill>
            <w14:solidFill>
              <w14:schemeClr w14:val="tx1"/>
            </w14:solidFill>
          </w14:textFill>
        </w:rPr>
        <w:t>1.察尔汗盐湖低品位固体钾矿高效溶采技术研究；</w:t>
      </w:r>
    </w:p>
    <w:bookmarkEnd w:id="0"/>
    <w:p>
      <w:pPr>
        <w:spacing w:line="360" w:lineRule="auto"/>
        <w:ind w:firstLine="567"/>
        <w:rPr>
          <w:rFonts w:ascii="仿宋_GB2312" w:hAnsi="楷体" w:eastAsia="仿宋_GB2312"/>
          <w:color w:val="000000" w:themeColor="text1"/>
          <w:sz w:val="32"/>
          <w:szCs w:val="32"/>
          <w14:textFill>
            <w14:solidFill>
              <w14:schemeClr w14:val="tx1"/>
            </w14:solidFill>
          </w14:textFill>
        </w:rPr>
      </w:pPr>
      <w:r>
        <w:rPr>
          <w:rFonts w:hint="eastAsia" w:ascii="仿宋_GB2312" w:hAnsi="楷体" w:eastAsia="仿宋_GB2312"/>
          <w:color w:val="000000" w:themeColor="text1"/>
          <w:spacing w:val="-20"/>
          <w:sz w:val="32"/>
          <w:szCs w:val="32"/>
          <w14:textFill>
            <w14:solidFill>
              <w14:schemeClr w14:val="tx1"/>
            </w14:solidFill>
          </w14:textFill>
        </w:rPr>
        <w:t>2.察尔汗盐湖固、液态矿床中各有益元素或组份资源储量查明及分布规律研究；</w:t>
      </w:r>
    </w:p>
    <w:p>
      <w:pPr>
        <w:spacing w:line="360" w:lineRule="auto"/>
        <w:ind w:firstLine="567"/>
        <w:rPr>
          <w:rFonts w:hint="eastAsia" w:ascii="仿宋_GB2312" w:hAnsi="楷体" w:eastAsia="仿宋_GB2312"/>
          <w:color w:val="000000" w:themeColor="text1"/>
          <w:spacing w:val="-20"/>
          <w:sz w:val="32"/>
          <w:szCs w:val="32"/>
          <w:lang w:eastAsia="zh-CN"/>
          <w14:textFill>
            <w14:solidFill>
              <w14:schemeClr w14:val="tx1"/>
            </w14:solidFill>
          </w14:textFill>
        </w:rPr>
      </w:pPr>
      <w:r>
        <w:rPr>
          <w:rFonts w:hint="eastAsia" w:ascii="仿宋_GB2312" w:hAnsi="楷体" w:eastAsia="仿宋_GB2312"/>
          <w:color w:val="000000" w:themeColor="text1"/>
          <w:spacing w:val="-20"/>
          <w:sz w:val="32"/>
          <w:szCs w:val="32"/>
          <w14:textFill>
            <w14:solidFill>
              <w14:schemeClr w14:val="tx1"/>
            </w14:solidFill>
          </w14:textFill>
        </w:rPr>
        <w:t>3.盐湖中各有益元素或组份提取技术及产业化研究</w:t>
      </w:r>
      <w:r>
        <w:rPr>
          <w:rFonts w:hint="eastAsia" w:ascii="仿宋_GB2312" w:hAnsi="楷体" w:eastAsia="仿宋_GB2312"/>
          <w:color w:val="000000" w:themeColor="text1"/>
          <w:spacing w:val="-20"/>
          <w:sz w:val="32"/>
          <w:szCs w:val="32"/>
          <w:lang w:eastAsia="zh-CN"/>
          <w14:textFill>
            <w14:solidFill>
              <w14:schemeClr w14:val="tx1"/>
            </w14:solidFill>
          </w14:textFill>
        </w:rPr>
        <w:t>。</w:t>
      </w:r>
    </w:p>
    <w:p>
      <w:pPr>
        <w:spacing w:line="360" w:lineRule="auto"/>
        <w:ind w:firstLine="643" w:firstLineChars="200"/>
        <w:rPr>
          <w:rFonts w:ascii="仿宋_GB2312" w:hAnsi="楷体" w:eastAsia="仿宋_GB2312"/>
          <w:color w:val="000000" w:themeColor="text1"/>
          <w:sz w:val="32"/>
          <w:szCs w:val="32"/>
          <w14:textFill>
            <w14:solidFill>
              <w14:schemeClr w14:val="tx1"/>
            </w14:solidFill>
          </w14:textFill>
        </w:rPr>
      </w:pPr>
      <w:r>
        <w:rPr>
          <w:rFonts w:hint="eastAsia" w:ascii="仿宋_GB2312" w:hAnsi="楷体" w:eastAsia="仿宋_GB2312"/>
          <w:b/>
          <w:color w:val="000000" w:themeColor="text1"/>
          <w:sz w:val="32"/>
          <w:szCs w:val="32"/>
          <w14:textFill>
            <w14:solidFill>
              <w14:schemeClr w14:val="tx1"/>
            </w14:solidFill>
          </w14:textFill>
        </w:rPr>
        <w:t>（二）技术指标</w:t>
      </w:r>
    </w:p>
    <w:p>
      <w:pPr>
        <w:spacing w:line="360" w:lineRule="auto"/>
        <w:ind w:firstLine="709"/>
        <w:rPr>
          <w:rFonts w:ascii="仿宋_GB2312" w:hAnsi="楷体" w:eastAsia="仿宋_GB2312"/>
          <w:color w:val="000000" w:themeColor="text1"/>
          <w:spacing w:val="-20"/>
          <w:sz w:val="32"/>
          <w:szCs w:val="32"/>
          <w14:textFill>
            <w14:solidFill>
              <w14:schemeClr w14:val="tx1"/>
            </w14:solidFill>
          </w14:textFill>
        </w:rPr>
      </w:pPr>
      <w:r>
        <w:rPr>
          <w:rFonts w:hint="eastAsia" w:ascii="仿宋_GB2312" w:hAnsi="楷体" w:eastAsia="仿宋_GB2312"/>
          <w:color w:val="000000" w:themeColor="text1"/>
          <w:spacing w:val="-20"/>
          <w:sz w:val="32"/>
          <w:szCs w:val="32"/>
          <w14:textFill>
            <w14:solidFill>
              <w14:schemeClr w14:val="tx1"/>
            </w14:solidFill>
          </w14:textFill>
        </w:rPr>
        <w:t>1.</w:t>
      </w:r>
      <w:bookmarkStart w:id="1" w:name="_Hlk70265662"/>
      <w:r>
        <w:rPr>
          <w:rFonts w:hint="eastAsia" w:ascii="仿宋_GB2312" w:hAnsi="楷体" w:eastAsia="仿宋_GB2312"/>
          <w:color w:val="000000" w:themeColor="text1"/>
          <w:spacing w:val="-20"/>
          <w:sz w:val="32"/>
          <w:szCs w:val="32"/>
          <w14:textFill>
            <w14:solidFill>
              <w14:schemeClr w14:val="tx1"/>
            </w14:solidFill>
          </w14:textFill>
        </w:rPr>
        <w:t>提升钾资源开采效率，通过矿区资源监测系统和生产系统数据测算，开采回采率达到85%以上，</w:t>
      </w:r>
      <w:bookmarkEnd w:id="1"/>
      <w:r>
        <w:rPr>
          <w:rFonts w:hint="eastAsia" w:ascii="仿宋_GB2312" w:hAnsi="楷体" w:eastAsia="仿宋_GB2312"/>
          <w:color w:val="000000" w:themeColor="text1"/>
          <w:spacing w:val="-20"/>
          <w:sz w:val="32"/>
          <w:szCs w:val="32"/>
          <w14:textFill>
            <w14:solidFill>
              <w14:schemeClr w14:val="tx1"/>
            </w14:solidFill>
          </w14:textFill>
        </w:rPr>
        <w:t>锂资源开采回采率达到70%以上；以开采出卤水中钾、锂含量为基准，钾综合回收率达到75%以上，锂综合回收率达到50%以上;</w:t>
      </w:r>
    </w:p>
    <w:p>
      <w:pPr>
        <w:spacing w:line="360" w:lineRule="auto"/>
        <w:ind w:firstLine="709"/>
        <w:rPr>
          <w:rFonts w:ascii="仿宋_GB2312" w:hAnsi="楷体" w:eastAsia="仿宋_GB2312"/>
          <w:color w:val="000000" w:themeColor="text1"/>
          <w:spacing w:val="-20"/>
          <w:sz w:val="32"/>
          <w:szCs w:val="32"/>
          <w14:textFill>
            <w14:solidFill>
              <w14:schemeClr w14:val="tx1"/>
            </w14:solidFill>
          </w14:textFill>
        </w:rPr>
      </w:pPr>
      <w:r>
        <w:rPr>
          <w:rFonts w:hint="eastAsia" w:ascii="仿宋_GB2312" w:hAnsi="楷体" w:eastAsia="仿宋_GB2312"/>
          <w:color w:val="000000" w:themeColor="text1"/>
          <w:spacing w:val="-20"/>
          <w:sz w:val="32"/>
          <w:szCs w:val="32"/>
          <w14:textFill>
            <w14:solidFill>
              <w14:schemeClr w14:val="tx1"/>
            </w14:solidFill>
          </w14:textFill>
        </w:rPr>
        <w:t>2.提升资源开发综合利水平，掌握钾及微量元素锂、硼、溴、碘、铷、铯等的富集及分布迁移规律，研究得出最适合分离提取的富集阶段，针对性地研发新的高效提取技术，其中硼收率60%以上，溴、碘、铷、铯收率达40%以上。</w:t>
      </w:r>
    </w:p>
    <w:p>
      <w:pPr>
        <w:spacing w:line="360" w:lineRule="auto"/>
        <w:ind w:firstLine="643" w:firstLineChars="200"/>
        <w:rPr>
          <w:rFonts w:ascii="仿宋_GB2312" w:hAnsi="黑体" w:eastAsia="仿宋_GB2312"/>
          <w:b/>
          <w:color w:val="000000" w:themeColor="text1"/>
          <w:sz w:val="32"/>
          <w:szCs w:val="32"/>
          <w14:textFill>
            <w14:solidFill>
              <w14:schemeClr w14:val="tx1"/>
            </w14:solidFill>
          </w14:textFill>
        </w:rPr>
      </w:pPr>
      <w:r>
        <w:rPr>
          <w:rFonts w:hint="eastAsia" w:ascii="仿宋_GB2312" w:hAnsi="黑体" w:eastAsia="仿宋_GB2312"/>
          <w:b/>
          <w:color w:val="000000" w:themeColor="text1"/>
          <w:sz w:val="32"/>
          <w:szCs w:val="32"/>
          <w14:textFill>
            <w14:solidFill>
              <w14:schemeClr w14:val="tx1"/>
            </w14:solidFill>
          </w14:textFill>
        </w:rPr>
        <w:t>三、合作模式</w:t>
      </w:r>
    </w:p>
    <w:p>
      <w:pPr>
        <w:spacing w:line="360" w:lineRule="auto"/>
        <w:ind w:firstLine="560" w:firstLineChars="200"/>
        <w:rPr>
          <w:rFonts w:hint="eastAsia" w:ascii="仿宋_GB2312" w:hAnsi="仿宋" w:eastAsia="仿宋_GB2312"/>
          <w:color w:val="000000" w:themeColor="text1"/>
          <w:spacing w:val="-20"/>
          <w:sz w:val="32"/>
          <w:szCs w:val="32"/>
          <w14:textFill>
            <w14:solidFill>
              <w14:schemeClr w14:val="tx1"/>
            </w14:solidFill>
          </w14:textFill>
        </w:rPr>
      </w:pPr>
      <w:r>
        <w:rPr>
          <w:rFonts w:hint="eastAsia" w:ascii="仿宋_GB2312" w:hAnsi="仿宋" w:eastAsia="仿宋_GB2312"/>
          <w:color w:val="000000" w:themeColor="text1"/>
          <w:spacing w:val="-20"/>
          <w:sz w:val="32"/>
          <w:szCs w:val="32"/>
          <w14:textFill>
            <w14:solidFill>
              <w14:schemeClr w14:val="tx1"/>
            </w14:solidFill>
          </w14:textFill>
        </w:rPr>
        <w:t>本项目将由青海盐湖工业股份有限公司作为投资主体，通过“揭榜挂帅”的方式引进科研院所、高校、企业等进行联合攻关，或技术引进。</w:t>
      </w:r>
    </w:p>
    <w:p>
      <w:pPr>
        <w:rPr>
          <w:rFonts w:hint="eastAsia"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br w:type="page"/>
      </w:r>
    </w:p>
    <w:p>
      <w:pPr>
        <w:spacing w:line="360" w:lineRule="auto"/>
        <w:jc w:val="center"/>
        <w:rPr>
          <w:rFonts w:ascii="仿宋_GB2312" w:hAnsi="华文中宋" w:eastAsia="仿宋_GB2312"/>
          <w:b/>
          <w:color w:val="000000" w:themeColor="text1"/>
          <w:sz w:val="32"/>
          <w:szCs w:val="32"/>
          <w14:textFill>
            <w14:solidFill>
              <w14:schemeClr w14:val="tx1"/>
            </w14:solidFill>
          </w14:textFill>
        </w:rPr>
      </w:pPr>
      <w:r>
        <w:rPr>
          <w:rFonts w:hint="eastAsia" w:ascii="仿宋_GB2312" w:hAnsi="华文中宋" w:eastAsia="仿宋_GB2312"/>
          <w:b/>
          <w:color w:val="000000" w:themeColor="text1"/>
          <w:sz w:val="32"/>
          <w:szCs w:val="32"/>
          <w14:textFill>
            <w14:solidFill>
              <w14:schemeClr w14:val="tx1"/>
            </w14:solidFill>
          </w14:textFill>
        </w:rPr>
        <w:t>项目6  低钠盐制备技术</w:t>
      </w:r>
    </w:p>
    <w:p>
      <w:pPr>
        <w:adjustRightInd w:val="0"/>
        <w:snapToGrid w:val="0"/>
        <w:spacing w:line="360" w:lineRule="auto"/>
        <w:ind w:firstLine="643" w:firstLineChars="200"/>
        <w:rPr>
          <w:rFonts w:ascii="仿宋_GB2312" w:eastAsia="仿宋_GB2312"/>
          <w:b/>
          <w:color w:val="000000" w:themeColor="text1"/>
          <w:sz w:val="32"/>
          <w:szCs w:val="32"/>
          <w14:textFill>
            <w14:solidFill>
              <w14:schemeClr w14:val="tx1"/>
            </w14:solidFill>
          </w14:textFill>
        </w:rPr>
      </w:pPr>
      <w:r>
        <w:rPr>
          <w:rFonts w:hint="eastAsia" w:ascii="仿宋_GB2312" w:eastAsia="仿宋_GB2312"/>
          <w:b/>
          <w:color w:val="000000" w:themeColor="text1"/>
          <w:sz w:val="32"/>
          <w:szCs w:val="32"/>
          <w14:textFill>
            <w14:solidFill>
              <w14:schemeClr w14:val="tx1"/>
            </w14:solidFill>
          </w14:textFill>
        </w:rPr>
        <w:t>一、项目立项背景</w:t>
      </w:r>
    </w:p>
    <w:p>
      <w:pPr>
        <w:pStyle w:val="10"/>
        <w:adjustRightInd w:val="0"/>
        <w:snapToGrid w:val="0"/>
        <w:spacing w:line="360" w:lineRule="auto"/>
        <w:ind w:firstLine="640"/>
        <w:rPr>
          <w:rFonts w:ascii="仿宋_GB2312" w:eastAsia="仿宋_GB2312"/>
          <w:color w:val="000000" w:themeColor="text1"/>
          <w:spacing w:val="-20"/>
          <w:sz w:val="32"/>
          <w:szCs w:val="32"/>
          <w14:textFill>
            <w14:solidFill>
              <w14:schemeClr w14:val="tx1"/>
            </w14:solidFill>
          </w14:textFill>
        </w:rPr>
      </w:pPr>
      <w:r>
        <w:rPr>
          <w:rFonts w:hint="eastAsia" w:ascii="仿宋_GB2312" w:eastAsia="仿宋_GB2312"/>
          <w:color w:val="000000" w:themeColor="text1"/>
          <w:spacing w:val="-20"/>
          <w:sz w:val="32"/>
          <w:szCs w:val="32"/>
          <w14:textFill>
            <w14:solidFill>
              <w14:schemeClr w14:val="tx1"/>
            </w14:solidFill>
          </w14:textFill>
        </w:rPr>
        <w:t>世界卫生组织向世界各国提出减盐行动，北京、上海等大城市已经开始推广食用低钠盐。目前，我国居民85%的死亡来自于慢性疾病，而长期食盐摄入过量是诱发高血压、心脑血管、脑卒中等多种疾病的主要原因之一。低钠盐在一些大城市和经济发达地区已开始普及，随着人们生活条件的提高和健康理念的注重，低钠盐产品有广阔的开拓市场。</w:t>
      </w:r>
    </w:p>
    <w:p>
      <w:pPr>
        <w:adjustRightInd w:val="0"/>
        <w:snapToGrid w:val="0"/>
        <w:spacing w:line="360" w:lineRule="auto"/>
        <w:ind w:firstLine="643" w:firstLineChars="200"/>
        <w:rPr>
          <w:rFonts w:ascii="仿宋_GB2312" w:eastAsia="仿宋_GB2312"/>
          <w:b/>
          <w:color w:val="000000" w:themeColor="text1"/>
          <w:sz w:val="32"/>
          <w:szCs w:val="32"/>
          <w14:textFill>
            <w14:solidFill>
              <w14:schemeClr w14:val="tx1"/>
            </w14:solidFill>
          </w14:textFill>
        </w:rPr>
      </w:pPr>
      <w:r>
        <w:rPr>
          <w:rFonts w:hint="eastAsia" w:ascii="仿宋_GB2312" w:eastAsia="仿宋_GB2312"/>
          <w:b/>
          <w:color w:val="000000" w:themeColor="text1"/>
          <w:sz w:val="32"/>
          <w:szCs w:val="32"/>
          <w14:textFill>
            <w14:solidFill>
              <w14:schemeClr w14:val="tx1"/>
            </w14:solidFill>
          </w14:textFill>
        </w:rPr>
        <w:t>二、项目研究内容、预期目标</w:t>
      </w:r>
    </w:p>
    <w:p>
      <w:pPr>
        <w:adjustRightInd w:val="0"/>
        <w:snapToGrid w:val="0"/>
        <w:spacing w:line="360" w:lineRule="auto"/>
        <w:ind w:firstLine="643" w:firstLineChars="200"/>
        <w:rPr>
          <w:rFonts w:ascii="仿宋_GB2312" w:eastAsia="仿宋_GB2312"/>
          <w:b/>
          <w:color w:val="000000" w:themeColor="text1"/>
          <w:sz w:val="32"/>
          <w:szCs w:val="32"/>
          <w14:textFill>
            <w14:solidFill>
              <w14:schemeClr w14:val="tx1"/>
            </w14:solidFill>
          </w14:textFill>
        </w:rPr>
      </w:pPr>
      <w:r>
        <w:rPr>
          <w:rFonts w:hint="eastAsia" w:ascii="仿宋_GB2312" w:eastAsia="仿宋_GB2312"/>
          <w:b/>
          <w:color w:val="000000" w:themeColor="text1"/>
          <w:sz w:val="32"/>
          <w:szCs w:val="32"/>
          <w14:textFill>
            <w14:solidFill>
              <w14:schemeClr w14:val="tx1"/>
            </w14:solidFill>
          </w14:textFill>
        </w:rPr>
        <w:t>（一）研究内容</w:t>
      </w:r>
    </w:p>
    <w:p>
      <w:pPr>
        <w:pStyle w:val="10"/>
        <w:adjustRightInd w:val="0"/>
        <w:snapToGrid w:val="0"/>
        <w:spacing w:line="360" w:lineRule="auto"/>
        <w:ind w:firstLine="640"/>
        <w:rPr>
          <w:rFonts w:ascii="仿宋_GB2312" w:eastAsia="仿宋_GB2312"/>
          <w:color w:val="000000" w:themeColor="text1"/>
          <w:spacing w:val="-20"/>
          <w:sz w:val="32"/>
          <w:szCs w:val="32"/>
          <w14:textFill>
            <w14:solidFill>
              <w14:schemeClr w14:val="tx1"/>
            </w14:solidFill>
          </w14:textFill>
        </w:rPr>
      </w:pPr>
      <w:r>
        <w:rPr>
          <w:rFonts w:hint="eastAsia" w:ascii="仿宋_GB2312" w:eastAsia="仿宋_GB2312"/>
          <w:color w:val="000000" w:themeColor="text1"/>
          <w:spacing w:val="-20"/>
          <w:sz w:val="32"/>
          <w:szCs w:val="32"/>
          <w14:textFill>
            <w14:solidFill>
              <w14:schemeClr w14:val="tx1"/>
            </w14:solidFill>
          </w14:textFill>
        </w:rPr>
        <w:t>1.生产低钠盐的原料筛选，确定技术路线（原料包括原卤、成矿卤水、老卤和含钠光卤石）;</w:t>
      </w:r>
    </w:p>
    <w:p>
      <w:pPr>
        <w:pStyle w:val="10"/>
        <w:adjustRightInd w:val="0"/>
        <w:snapToGrid w:val="0"/>
        <w:spacing w:line="360" w:lineRule="auto"/>
        <w:ind w:firstLine="640"/>
        <w:rPr>
          <w:rFonts w:ascii="仿宋_GB2312" w:eastAsia="仿宋_GB2312"/>
          <w:color w:val="000000" w:themeColor="text1"/>
          <w:spacing w:val="-20"/>
          <w:sz w:val="32"/>
          <w:szCs w:val="32"/>
          <w14:textFill>
            <w14:solidFill>
              <w14:schemeClr w14:val="tx1"/>
            </w14:solidFill>
          </w14:textFill>
        </w:rPr>
      </w:pPr>
      <w:r>
        <w:rPr>
          <w:rFonts w:hint="eastAsia" w:ascii="仿宋_GB2312" w:eastAsia="仿宋_GB2312"/>
          <w:color w:val="000000" w:themeColor="text1"/>
          <w:spacing w:val="-20"/>
          <w:sz w:val="32"/>
          <w:szCs w:val="32"/>
          <w14:textFill>
            <w14:solidFill>
              <w14:schemeClr w14:val="tx1"/>
            </w14:solidFill>
          </w14:textFill>
        </w:rPr>
        <w:t>2.胺物质脱附机理研究、钙、镁、胺等除杂技术研究;</w:t>
      </w:r>
    </w:p>
    <w:p>
      <w:pPr>
        <w:pStyle w:val="10"/>
        <w:adjustRightInd w:val="0"/>
        <w:snapToGrid w:val="0"/>
        <w:spacing w:line="360" w:lineRule="auto"/>
        <w:ind w:firstLine="640"/>
        <w:rPr>
          <w:rFonts w:ascii="仿宋_GB2312" w:eastAsia="仿宋_GB2312"/>
          <w:color w:val="000000" w:themeColor="text1"/>
          <w:spacing w:val="-20"/>
          <w:sz w:val="32"/>
          <w:szCs w:val="32"/>
          <w14:textFill>
            <w14:solidFill>
              <w14:schemeClr w14:val="tx1"/>
            </w14:solidFill>
          </w14:textFill>
        </w:rPr>
      </w:pPr>
      <w:r>
        <w:rPr>
          <w:rFonts w:hint="eastAsia" w:ascii="仿宋_GB2312" w:eastAsia="仿宋_GB2312"/>
          <w:color w:val="000000" w:themeColor="text1"/>
          <w:spacing w:val="-20"/>
          <w:sz w:val="32"/>
          <w:szCs w:val="32"/>
          <w14:textFill>
            <w14:solidFill>
              <w14:schemeClr w14:val="tx1"/>
            </w14:solidFill>
          </w14:textFill>
        </w:rPr>
        <w:t>3.低钠盐产品产业化技术研究。</w:t>
      </w:r>
    </w:p>
    <w:p>
      <w:pPr>
        <w:adjustRightInd w:val="0"/>
        <w:snapToGrid w:val="0"/>
        <w:spacing w:line="360" w:lineRule="auto"/>
        <w:ind w:firstLine="643" w:firstLineChars="200"/>
        <w:rPr>
          <w:rFonts w:ascii="仿宋_GB2312" w:eastAsia="仿宋_GB2312"/>
          <w:b/>
          <w:color w:val="000000" w:themeColor="text1"/>
          <w:sz w:val="32"/>
          <w:szCs w:val="32"/>
          <w14:textFill>
            <w14:solidFill>
              <w14:schemeClr w14:val="tx1"/>
            </w14:solidFill>
          </w14:textFill>
        </w:rPr>
      </w:pPr>
      <w:r>
        <w:rPr>
          <w:rFonts w:hint="eastAsia" w:ascii="仿宋_GB2312" w:eastAsia="仿宋_GB2312"/>
          <w:b/>
          <w:color w:val="000000" w:themeColor="text1"/>
          <w:sz w:val="32"/>
          <w:szCs w:val="32"/>
          <w14:textFill>
            <w14:solidFill>
              <w14:schemeClr w14:val="tx1"/>
            </w14:solidFill>
          </w14:textFill>
        </w:rPr>
        <w:t>（二）预期目标</w:t>
      </w:r>
    </w:p>
    <w:p>
      <w:pPr>
        <w:spacing w:line="360" w:lineRule="auto"/>
        <w:ind w:firstLine="560" w:firstLineChars="200"/>
        <w:rPr>
          <w:rFonts w:ascii="仿宋_GB2312" w:hAnsi="仿宋" w:eastAsia="仿宋_GB2312"/>
          <w:color w:val="000000" w:themeColor="text1"/>
          <w:spacing w:val="-20"/>
          <w:sz w:val="32"/>
          <w:szCs w:val="32"/>
          <w14:textFill>
            <w14:solidFill>
              <w14:schemeClr w14:val="tx1"/>
            </w14:solidFill>
          </w14:textFill>
        </w:rPr>
      </w:pPr>
      <w:r>
        <w:rPr>
          <w:rFonts w:hint="eastAsia" w:ascii="仿宋_GB2312" w:hAnsi="仿宋" w:eastAsia="仿宋_GB2312"/>
          <w:color w:val="000000" w:themeColor="text1"/>
          <w:spacing w:val="-20"/>
          <w:sz w:val="32"/>
          <w:szCs w:val="32"/>
          <w14:textFill>
            <w14:solidFill>
              <w14:schemeClr w14:val="tx1"/>
            </w14:solidFill>
          </w14:textFill>
        </w:rPr>
        <w:t>1.形成生产低钠盐的自主知识产权及工艺包;</w:t>
      </w:r>
    </w:p>
    <w:p>
      <w:pPr>
        <w:spacing w:line="360" w:lineRule="auto"/>
        <w:ind w:firstLine="560" w:firstLineChars="200"/>
        <w:rPr>
          <w:rFonts w:ascii="仿宋_GB2312" w:hAnsi="仿宋" w:eastAsia="仿宋_GB2312"/>
          <w:color w:val="000000" w:themeColor="text1"/>
          <w:spacing w:val="-20"/>
          <w:sz w:val="32"/>
          <w:szCs w:val="32"/>
          <w14:textFill>
            <w14:solidFill>
              <w14:schemeClr w14:val="tx1"/>
            </w14:solidFill>
          </w14:textFill>
        </w:rPr>
      </w:pPr>
      <w:r>
        <w:rPr>
          <w:rFonts w:hint="eastAsia" w:ascii="仿宋_GB2312" w:hAnsi="仿宋" w:eastAsia="仿宋_GB2312"/>
          <w:color w:val="000000" w:themeColor="text1"/>
          <w:spacing w:val="-20"/>
          <w:sz w:val="32"/>
          <w:szCs w:val="32"/>
          <w14:textFill>
            <w14:solidFill>
              <w14:schemeClr w14:val="tx1"/>
            </w14:solidFill>
          </w14:textFill>
        </w:rPr>
        <w:t>2.形成适用于盐湖生产低钠盐产品的胺及其他杂质协同去除新技术;</w:t>
      </w:r>
    </w:p>
    <w:p>
      <w:pPr>
        <w:spacing w:line="360" w:lineRule="auto"/>
        <w:ind w:firstLine="560" w:firstLineChars="200"/>
        <w:rPr>
          <w:rFonts w:ascii="仿宋_GB2312" w:hAnsi="仿宋" w:eastAsia="仿宋_GB2312"/>
          <w:color w:val="000000" w:themeColor="text1"/>
          <w:spacing w:val="-20"/>
          <w:sz w:val="32"/>
          <w:szCs w:val="32"/>
          <w14:textFill>
            <w14:solidFill>
              <w14:schemeClr w14:val="tx1"/>
            </w14:solidFill>
          </w14:textFill>
        </w:rPr>
      </w:pPr>
      <w:r>
        <w:rPr>
          <w:rFonts w:hint="eastAsia" w:ascii="仿宋_GB2312" w:hAnsi="仿宋" w:eastAsia="仿宋_GB2312"/>
          <w:color w:val="000000" w:themeColor="text1"/>
          <w:spacing w:val="-20"/>
          <w:sz w:val="32"/>
          <w:szCs w:val="32"/>
          <w14:textFill>
            <w14:solidFill>
              <w14:schemeClr w14:val="tx1"/>
            </w14:solidFill>
          </w14:textFill>
        </w:rPr>
        <w:t>3.建成1条低钠盐产品中试示范线;</w:t>
      </w:r>
    </w:p>
    <w:p>
      <w:pPr>
        <w:spacing w:line="360" w:lineRule="auto"/>
        <w:ind w:firstLine="560" w:firstLineChars="200"/>
        <w:rPr>
          <w:rFonts w:ascii="仿宋_GB2312" w:hAnsi="仿宋" w:eastAsia="仿宋_GB2312"/>
          <w:color w:val="000000" w:themeColor="text1"/>
          <w:spacing w:val="-20"/>
          <w:sz w:val="32"/>
          <w:szCs w:val="32"/>
          <w14:textFill>
            <w14:solidFill>
              <w14:schemeClr w14:val="tx1"/>
            </w14:solidFill>
          </w14:textFill>
        </w:rPr>
      </w:pPr>
      <w:r>
        <w:rPr>
          <w:rFonts w:hint="eastAsia" w:ascii="仿宋_GB2312" w:hAnsi="仿宋" w:eastAsia="仿宋_GB2312"/>
          <w:color w:val="000000" w:themeColor="text1"/>
          <w:spacing w:val="-20"/>
          <w:sz w:val="32"/>
          <w:szCs w:val="32"/>
          <w14:textFill>
            <w14:solidFill>
              <w14:schemeClr w14:val="tx1"/>
            </w14:solidFill>
          </w14:textFill>
        </w:rPr>
        <w:t>4.低钠盐产品符合QB/T-2019-2020标准;</w:t>
      </w:r>
    </w:p>
    <w:p>
      <w:pPr>
        <w:spacing w:line="360" w:lineRule="auto"/>
        <w:ind w:firstLine="560" w:firstLineChars="200"/>
        <w:rPr>
          <w:rFonts w:ascii="仿宋_GB2312" w:hAnsi="楷体" w:eastAsia="仿宋_GB2312"/>
          <w:b/>
          <w:color w:val="000000" w:themeColor="text1"/>
          <w:spacing w:val="-20"/>
          <w:sz w:val="32"/>
          <w:szCs w:val="32"/>
          <w14:textFill>
            <w14:solidFill>
              <w14:schemeClr w14:val="tx1"/>
            </w14:solidFill>
          </w14:textFill>
        </w:rPr>
      </w:pPr>
      <w:bookmarkStart w:id="2" w:name="_GoBack"/>
      <w:bookmarkEnd w:id="2"/>
      <w:r>
        <w:rPr>
          <w:rFonts w:hint="eastAsia" w:ascii="仿宋_GB2312" w:hAnsi="仿宋" w:eastAsia="仿宋_GB2312"/>
          <w:color w:val="000000" w:themeColor="text1"/>
          <w:spacing w:val="-20"/>
          <w:sz w:val="32"/>
          <w:szCs w:val="32"/>
          <w14:textFill>
            <w14:solidFill>
              <w14:schemeClr w14:val="tx1"/>
            </w14:solidFill>
          </w14:textFill>
        </w:rPr>
        <w:t>5.加工过程钾收率≥90%。</w:t>
      </w:r>
    </w:p>
    <w:p>
      <w:pPr>
        <w:adjustRightInd w:val="0"/>
        <w:snapToGrid w:val="0"/>
        <w:spacing w:line="360" w:lineRule="auto"/>
        <w:ind w:firstLine="643" w:firstLineChars="200"/>
        <w:rPr>
          <w:rFonts w:ascii="仿宋_GB2312" w:eastAsia="仿宋_GB2312"/>
          <w:b/>
          <w:color w:val="000000" w:themeColor="text1"/>
          <w:sz w:val="32"/>
          <w:szCs w:val="32"/>
          <w14:textFill>
            <w14:solidFill>
              <w14:schemeClr w14:val="tx1"/>
            </w14:solidFill>
          </w14:textFill>
        </w:rPr>
      </w:pPr>
      <w:r>
        <w:rPr>
          <w:rFonts w:hint="eastAsia" w:ascii="仿宋_GB2312" w:eastAsia="仿宋_GB2312"/>
          <w:b/>
          <w:color w:val="000000" w:themeColor="text1"/>
          <w:sz w:val="32"/>
          <w:szCs w:val="32"/>
          <w14:textFill>
            <w14:solidFill>
              <w14:schemeClr w14:val="tx1"/>
            </w14:solidFill>
          </w14:textFill>
        </w:rPr>
        <w:t>三、项目研究合作模式</w:t>
      </w:r>
    </w:p>
    <w:p>
      <w:pPr>
        <w:pStyle w:val="10"/>
        <w:adjustRightInd w:val="0"/>
        <w:snapToGrid w:val="0"/>
        <w:spacing w:line="360" w:lineRule="auto"/>
        <w:ind w:firstLine="640"/>
        <w:rPr>
          <w:rFonts w:ascii="仿宋_GB2312" w:eastAsia="仿宋_GB2312"/>
          <w:color w:val="000000" w:themeColor="text1"/>
          <w:spacing w:val="-20"/>
          <w:sz w:val="32"/>
          <w:szCs w:val="32"/>
          <w14:textFill>
            <w14:solidFill>
              <w14:schemeClr w14:val="tx1"/>
            </w14:solidFill>
          </w14:textFill>
        </w:rPr>
      </w:pPr>
      <w:r>
        <w:rPr>
          <w:rFonts w:hint="eastAsia" w:ascii="仿宋_GB2312" w:eastAsia="仿宋_GB2312"/>
          <w:color w:val="000000" w:themeColor="text1"/>
          <w:spacing w:val="-20"/>
          <w:sz w:val="32"/>
          <w:szCs w:val="32"/>
          <w14:textFill>
            <w14:solidFill>
              <w14:schemeClr w14:val="tx1"/>
            </w14:solidFill>
          </w14:textFill>
        </w:rPr>
        <w:t>本项目将由青海盐湖工业股份有限公司作为投资主体，通过“揭榜挂帅”的方式引进科研院所、高校、企业等进行联合攻关，或技术引进。</w:t>
      </w:r>
    </w:p>
    <w:p>
      <w:pPr>
        <w:rPr>
          <w:rFonts w:ascii="仿宋_GB2312" w:eastAsia="仿宋_GB2312"/>
          <w:color w:val="000000" w:themeColor="text1"/>
          <w:sz w:val="32"/>
          <w:szCs w:val="32"/>
          <w14:textFill>
            <w14:solidFill>
              <w14:schemeClr w14:val="tx1"/>
            </w14:solidFill>
          </w14:textFill>
        </w:rPr>
      </w:pPr>
      <w:r>
        <w:rPr>
          <w:rFonts w:ascii="仿宋_GB2312" w:eastAsia="仿宋_GB2312"/>
          <w:color w:val="000000" w:themeColor="text1"/>
          <w:sz w:val="32"/>
          <w:szCs w:val="32"/>
          <w14:textFill>
            <w14:solidFill>
              <w14:schemeClr w14:val="tx1"/>
            </w14:solidFill>
          </w14:textFill>
        </w:rPr>
        <w:br w:type="page"/>
      </w:r>
    </w:p>
    <w:p>
      <w:pPr>
        <w:spacing w:line="360" w:lineRule="auto"/>
        <w:jc w:val="center"/>
        <w:rPr>
          <w:rFonts w:ascii="仿宋_GB2312" w:hAnsi="宋体" w:eastAsia="仿宋_GB2312" w:cs="Times New Roman"/>
          <w:b/>
          <w:color w:val="000000" w:themeColor="text1"/>
          <w:sz w:val="32"/>
          <w:szCs w:val="32"/>
          <w14:textFill>
            <w14:solidFill>
              <w14:schemeClr w14:val="tx1"/>
            </w14:solidFill>
          </w14:textFill>
        </w:rPr>
      </w:pPr>
      <w:r>
        <w:rPr>
          <w:rFonts w:hint="eastAsia" w:ascii="仿宋_GB2312" w:hAnsi="华文中宋" w:eastAsia="仿宋_GB2312"/>
          <w:b/>
          <w:color w:val="000000" w:themeColor="text1"/>
          <w:sz w:val="32"/>
          <w:szCs w:val="32"/>
          <w14:textFill>
            <w14:solidFill>
              <w14:schemeClr w14:val="tx1"/>
            </w14:solidFill>
          </w14:textFill>
        </w:rPr>
        <w:t>项目7  镁基插层材料开发技术</w:t>
      </w:r>
    </w:p>
    <w:p>
      <w:pPr>
        <w:spacing w:line="360" w:lineRule="auto"/>
        <w:ind w:firstLine="643" w:firstLineChars="200"/>
        <w:rPr>
          <w:rFonts w:ascii="仿宋_GB2312" w:hAnsi="宋体" w:eastAsia="仿宋_GB2312" w:cs="Times New Roman"/>
          <w:b/>
          <w:bCs/>
          <w:color w:val="000000" w:themeColor="text1"/>
          <w:sz w:val="32"/>
          <w:szCs w:val="32"/>
          <w14:textFill>
            <w14:solidFill>
              <w14:schemeClr w14:val="tx1"/>
            </w14:solidFill>
          </w14:textFill>
        </w:rPr>
      </w:pPr>
      <w:r>
        <w:rPr>
          <w:rFonts w:hint="eastAsia" w:ascii="仿宋_GB2312" w:hAnsi="宋体" w:eastAsia="仿宋_GB2312" w:cs="Times New Roman"/>
          <w:b/>
          <w:bCs/>
          <w:color w:val="000000" w:themeColor="text1"/>
          <w:sz w:val="32"/>
          <w:szCs w:val="32"/>
          <w14:textFill>
            <w14:solidFill>
              <w14:schemeClr w14:val="tx1"/>
            </w14:solidFill>
          </w14:textFill>
        </w:rPr>
        <w:t>一、项目背景</w:t>
      </w:r>
    </w:p>
    <w:p>
      <w:pPr>
        <w:spacing w:line="360" w:lineRule="auto"/>
        <w:ind w:firstLine="596" w:firstLineChars="200"/>
        <w:rPr>
          <w:rFonts w:ascii="仿宋_GB2312" w:hAnsi="宋体" w:eastAsia="仿宋_GB2312" w:cs="Times New Roman"/>
          <w:color w:val="000000" w:themeColor="text1"/>
          <w:spacing w:val="-11"/>
          <w:sz w:val="32"/>
          <w:szCs w:val="32"/>
          <w14:textFill>
            <w14:solidFill>
              <w14:schemeClr w14:val="tx1"/>
            </w14:solidFill>
          </w14:textFill>
        </w:rPr>
      </w:pPr>
      <w:r>
        <w:rPr>
          <w:rFonts w:hint="eastAsia" w:ascii="仿宋_GB2312" w:hAnsi="宋体" w:eastAsia="仿宋_GB2312" w:cs="Times New Roman"/>
          <w:color w:val="000000" w:themeColor="text1"/>
          <w:spacing w:val="-11"/>
          <w:sz w:val="32"/>
          <w:szCs w:val="32"/>
          <w14:textFill>
            <w14:solidFill>
              <w14:schemeClr w14:val="tx1"/>
            </w14:solidFill>
          </w14:textFill>
        </w:rPr>
        <w:t>镁资源在我国是最具有国际竞争力的优势矿产,发展盐湖镁产业是推进我国制造业升级的关键产业之一。加强盐湖镁资源高值化利用、突破镁产业化关键技术难题，对盐湖资源的综合利用及盐湖循环经济发展至关重要。</w:t>
      </w:r>
    </w:p>
    <w:p>
      <w:pPr>
        <w:spacing w:line="360" w:lineRule="auto"/>
        <w:ind w:firstLine="596" w:firstLineChars="200"/>
        <w:rPr>
          <w:rFonts w:ascii="仿宋_GB2312" w:hAnsi="宋体" w:eastAsia="仿宋_GB2312" w:cs="Times New Roman"/>
          <w:color w:val="000000" w:themeColor="text1"/>
          <w:spacing w:val="-11"/>
          <w:sz w:val="32"/>
          <w:szCs w:val="32"/>
          <w14:textFill>
            <w14:solidFill>
              <w14:schemeClr w14:val="tx1"/>
            </w14:solidFill>
          </w14:textFill>
        </w:rPr>
      </w:pPr>
      <w:r>
        <w:rPr>
          <w:rFonts w:hint="eastAsia" w:ascii="仿宋_GB2312" w:hAnsi="宋体" w:eastAsia="仿宋_GB2312" w:cs="Times New Roman"/>
          <w:color w:val="000000" w:themeColor="text1"/>
          <w:spacing w:val="-11"/>
          <w:sz w:val="32"/>
          <w:szCs w:val="32"/>
          <w14:textFill>
            <w14:solidFill>
              <w14:schemeClr w14:val="tx1"/>
            </w14:solidFill>
          </w14:textFill>
        </w:rPr>
        <w:t>察尔汗盐湖氯化镁资源储量大、品质优，是生产镁基插层的优良原料。镁基插层材料广泛应用于土壤修复、有机材料添加、红外线吸收材料、热稳定剂、阻燃剂、紫外阻隔材料等，镁基插层材料是镁资源开发利用的重要方向。</w:t>
      </w:r>
    </w:p>
    <w:p>
      <w:pPr>
        <w:spacing w:line="360" w:lineRule="auto"/>
        <w:ind w:firstLine="643" w:firstLineChars="200"/>
        <w:rPr>
          <w:rFonts w:ascii="仿宋_GB2312" w:hAnsi="宋体" w:eastAsia="仿宋_GB2312" w:cs="Times New Roman"/>
          <w:b/>
          <w:bCs/>
          <w:color w:val="000000" w:themeColor="text1"/>
          <w:sz w:val="32"/>
          <w:szCs w:val="32"/>
          <w14:textFill>
            <w14:solidFill>
              <w14:schemeClr w14:val="tx1"/>
            </w14:solidFill>
          </w14:textFill>
        </w:rPr>
      </w:pPr>
      <w:r>
        <w:rPr>
          <w:rFonts w:hint="eastAsia" w:ascii="仿宋_GB2312" w:hAnsi="宋体" w:eastAsia="仿宋_GB2312" w:cs="Times New Roman"/>
          <w:b/>
          <w:bCs/>
          <w:color w:val="000000" w:themeColor="text1"/>
          <w:sz w:val="32"/>
          <w:szCs w:val="32"/>
          <w14:textFill>
            <w14:solidFill>
              <w14:schemeClr w14:val="tx1"/>
            </w14:solidFill>
          </w14:textFill>
        </w:rPr>
        <w:t>二、项目研究内容、预期目标</w:t>
      </w:r>
    </w:p>
    <w:p>
      <w:pPr>
        <w:spacing w:line="360" w:lineRule="auto"/>
        <w:ind w:firstLine="643" w:firstLineChars="200"/>
        <w:rPr>
          <w:rFonts w:ascii="仿宋_GB2312" w:hAnsi="宋体" w:eastAsia="仿宋_GB2312" w:cs="Times New Roman"/>
          <w:b/>
          <w:color w:val="000000" w:themeColor="text1"/>
          <w:sz w:val="32"/>
          <w:szCs w:val="32"/>
          <w14:textFill>
            <w14:solidFill>
              <w14:schemeClr w14:val="tx1"/>
            </w14:solidFill>
          </w14:textFill>
        </w:rPr>
      </w:pPr>
      <w:r>
        <w:rPr>
          <w:rFonts w:hint="eastAsia" w:ascii="仿宋_GB2312" w:hAnsi="宋体" w:eastAsia="仿宋_GB2312" w:cs="Times New Roman"/>
          <w:b/>
          <w:color w:val="000000" w:themeColor="text1"/>
          <w:sz w:val="32"/>
          <w:szCs w:val="32"/>
          <w14:textFill>
            <w14:solidFill>
              <w14:schemeClr w14:val="tx1"/>
            </w14:solidFill>
          </w14:textFill>
        </w:rPr>
        <w:t>（一）研究内容</w:t>
      </w:r>
    </w:p>
    <w:p>
      <w:pPr>
        <w:spacing w:line="360" w:lineRule="auto"/>
        <w:ind w:firstLine="560" w:firstLineChars="200"/>
        <w:rPr>
          <w:rFonts w:ascii="仿宋_GB2312" w:hAnsi="宋体" w:eastAsia="仿宋_GB2312" w:cs="Times New Roman"/>
          <w:color w:val="000000" w:themeColor="text1"/>
          <w:spacing w:val="-20"/>
          <w:sz w:val="32"/>
          <w:szCs w:val="32"/>
          <w14:textFill>
            <w14:solidFill>
              <w14:schemeClr w14:val="tx1"/>
            </w14:solidFill>
          </w14:textFill>
        </w:rPr>
      </w:pPr>
      <w:r>
        <w:rPr>
          <w:rFonts w:hint="eastAsia" w:ascii="仿宋_GB2312" w:hAnsi="宋体" w:eastAsia="仿宋_GB2312" w:cs="Times New Roman"/>
          <w:color w:val="000000" w:themeColor="text1"/>
          <w:spacing w:val="-20"/>
          <w:sz w:val="32"/>
          <w:szCs w:val="32"/>
          <w14:textFill>
            <w14:solidFill>
              <w14:schemeClr w14:val="tx1"/>
            </w14:solidFill>
          </w14:textFill>
        </w:rPr>
        <w:t>1.围绕盐湖氯化镁资源开发利用，研究镁基超分子结构层状功能材料的工程化及产业化关键技术；</w:t>
      </w:r>
    </w:p>
    <w:p>
      <w:pPr>
        <w:spacing w:line="360" w:lineRule="auto"/>
        <w:ind w:firstLine="560" w:firstLineChars="200"/>
        <w:rPr>
          <w:rFonts w:ascii="仿宋_GB2312" w:hAnsi="宋体" w:eastAsia="仿宋_GB2312" w:cs="Times New Roman"/>
          <w:color w:val="000000" w:themeColor="text1"/>
          <w:spacing w:val="-20"/>
          <w:sz w:val="32"/>
          <w:szCs w:val="32"/>
          <w14:textFill>
            <w14:solidFill>
              <w14:schemeClr w14:val="tx1"/>
            </w14:solidFill>
          </w14:textFill>
        </w:rPr>
      </w:pPr>
      <w:r>
        <w:rPr>
          <w:rFonts w:hint="eastAsia" w:ascii="仿宋_GB2312" w:hAnsi="宋体" w:eastAsia="仿宋_GB2312" w:cs="Times New Roman"/>
          <w:color w:val="000000" w:themeColor="text1"/>
          <w:spacing w:val="-20"/>
          <w:sz w:val="32"/>
          <w:szCs w:val="32"/>
          <w14:textFill>
            <w14:solidFill>
              <w14:schemeClr w14:val="tx1"/>
            </w14:solidFill>
          </w14:textFill>
        </w:rPr>
        <w:t>2.镁基插层材料产品下游拓展研究应用。</w:t>
      </w:r>
    </w:p>
    <w:p>
      <w:pPr>
        <w:spacing w:line="360" w:lineRule="auto"/>
        <w:ind w:firstLine="643" w:firstLineChars="200"/>
        <w:rPr>
          <w:rFonts w:ascii="仿宋_GB2312" w:hAnsi="楷体" w:eastAsia="仿宋_GB2312" w:cs="Times New Roman"/>
          <w:b/>
          <w:color w:val="000000" w:themeColor="text1"/>
          <w:sz w:val="32"/>
          <w:szCs w:val="32"/>
          <w14:textFill>
            <w14:solidFill>
              <w14:schemeClr w14:val="tx1"/>
            </w14:solidFill>
          </w14:textFill>
        </w:rPr>
      </w:pPr>
      <w:r>
        <w:rPr>
          <w:rFonts w:hint="eastAsia" w:ascii="仿宋_GB2312" w:hAnsi="楷体" w:eastAsia="仿宋_GB2312" w:cs="Times New Roman"/>
          <w:b/>
          <w:color w:val="000000" w:themeColor="text1"/>
          <w:sz w:val="32"/>
          <w:szCs w:val="32"/>
          <w14:textFill>
            <w14:solidFill>
              <w14:schemeClr w14:val="tx1"/>
            </w14:solidFill>
          </w14:textFill>
        </w:rPr>
        <w:t>（二）预期目标</w:t>
      </w:r>
    </w:p>
    <w:p>
      <w:pPr>
        <w:spacing w:line="360" w:lineRule="auto"/>
        <w:ind w:firstLine="560" w:firstLineChars="200"/>
        <w:rPr>
          <w:rFonts w:ascii="仿宋_GB2312" w:hAnsi="宋体" w:eastAsia="仿宋_GB2312" w:cs="Times New Roman"/>
          <w:color w:val="000000" w:themeColor="text1"/>
          <w:sz w:val="32"/>
          <w:szCs w:val="32"/>
          <w14:textFill>
            <w14:solidFill>
              <w14:schemeClr w14:val="tx1"/>
            </w14:solidFill>
          </w14:textFill>
        </w:rPr>
      </w:pPr>
      <w:r>
        <w:rPr>
          <w:rFonts w:hint="eastAsia" w:ascii="仿宋_GB2312" w:hAnsi="宋体" w:eastAsia="仿宋_GB2312" w:cs="Times New Roman"/>
          <w:color w:val="000000" w:themeColor="text1"/>
          <w:spacing w:val="-20"/>
          <w:sz w:val="32"/>
          <w:szCs w:val="32"/>
          <w14:textFill>
            <w14:solidFill>
              <w14:schemeClr w14:val="tx1"/>
            </w14:solidFill>
          </w14:textFill>
        </w:rPr>
        <w:t>形成基于察尔汗盐湖资源的、具有市场前景和项目可行性的镁基插层材料工程化成套技术。</w:t>
      </w:r>
    </w:p>
    <w:p>
      <w:pPr>
        <w:spacing w:line="360" w:lineRule="auto"/>
        <w:ind w:firstLine="643" w:firstLineChars="200"/>
        <w:rPr>
          <w:rFonts w:ascii="仿宋_GB2312" w:hAnsi="楷体" w:eastAsia="仿宋_GB2312" w:cs="Times New Roman"/>
          <w:b/>
          <w:color w:val="000000" w:themeColor="text1"/>
          <w:sz w:val="32"/>
          <w:szCs w:val="32"/>
          <w14:textFill>
            <w14:solidFill>
              <w14:schemeClr w14:val="tx1"/>
            </w14:solidFill>
          </w14:textFill>
        </w:rPr>
      </w:pPr>
      <w:r>
        <w:rPr>
          <w:rFonts w:hint="eastAsia" w:ascii="仿宋_GB2312" w:hAnsi="楷体" w:eastAsia="仿宋_GB2312" w:cs="Times New Roman"/>
          <w:b/>
          <w:color w:val="000000" w:themeColor="text1"/>
          <w:sz w:val="32"/>
          <w:szCs w:val="32"/>
          <w14:textFill>
            <w14:solidFill>
              <w14:schemeClr w14:val="tx1"/>
            </w14:solidFill>
          </w14:textFill>
        </w:rPr>
        <w:t>三、项目研究合作模式</w:t>
      </w:r>
    </w:p>
    <w:p>
      <w:pPr>
        <w:spacing w:line="360" w:lineRule="auto"/>
        <w:ind w:firstLine="560" w:firstLineChars="200"/>
        <w:rPr>
          <w:rFonts w:hint="eastAsia" w:ascii="仿宋_GB2312" w:hAnsi="仿宋" w:eastAsia="仿宋_GB2312" w:cs="Times New Roman"/>
          <w:color w:val="000000" w:themeColor="text1"/>
          <w:spacing w:val="-20"/>
          <w:sz w:val="32"/>
          <w:szCs w:val="32"/>
          <w14:textFill>
            <w14:solidFill>
              <w14:schemeClr w14:val="tx1"/>
            </w14:solidFill>
          </w14:textFill>
        </w:rPr>
      </w:pPr>
      <w:r>
        <w:rPr>
          <w:rFonts w:hint="eastAsia" w:ascii="仿宋_GB2312" w:hAnsi="仿宋" w:eastAsia="仿宋_GB2312" w:cs="Times New Roman"/>
          <w:color w:val="000000" w:themeColor="text1"/>
          <w:spacing w:val="-20"/>
          <w:sz w:val="32"/>
          <w:szCs w:val="32"/>
          <w14:textFill>
            <w14:solidFill>
              <w14:schemeClr w14:val="tx1"/>
            </w14:solidFill>
          </w14:textFill>
        </w:rPr>
        <w:t>本项目将由青海盐湖工业股份有限公司作为投资主体，通过“揭榜挂帅”的方式引进科研院所、高校、企业等进行联合攻关，或技术引进。</w:t>
      </w:r>
    </w:p>
    <w:p>
      <w:pPr>
        <w:spacing w:line="360" w:lineRule="auto"/>
        <w:jc w:val="center"/>
        <w:rPr>
          <w:rFonts w:ascii="仿宋_GB2312" w:hAnsi="华文中宋" w:eastAsia="仿宋_GB2312"/>
          <w:b/>
          <w:color w:val="000000" w:themeColor="text1"/>
          <w:sz w:val="32"/>
          <w:szCs w:val="32"/>
          <w14:textFill>
            <w14:solidFill>
              <w14:schemeClr w14:val="tx1"/>
            </w14:solidFill>
          </w14:textFill>
        </w:rPr>
      </w:pPr>
      <w:r>
        <w:rPr>
          <w:rFonts w:ascii="仿宋_GB2312" w:eastAsia="仿宋_GB2312"/>
          <w:color w:val="000000" w:themeColor="text1"/>
          <w:sz w:val="32"/>
          <w:szCs w:val="32"/>
          <w14:textFill>
            <w14:solidFill>
              <w14:schemeClr w14:val="tx1"/>
            </w14:solidFill>
          </w14:textFill>
        </w:rPr>
        <w:br w:type="column"/>
      </w:r>
      <w:r>
        <w:rPr>
          <w:rFonts w:hint="eastAsia" w:ascii="仿宋_GB2312" w:hAnsi="华文中宋" w:eastAsia="仿宋_GB2312"/>
          <w:b/>
          <w:color w:val="000000" w:themeColor="text1"/>
          <w:sz w:val="32"/>
          <w:szCs w:val="32"/>
          <w14:textFill>
            <w14:solidFill>
              <w14:schemeClr w14:val="tx1"/>
            </w14:solidFill>
          </w14:textFill>
        </w:rPr>
        <w:t>项目8  察尔汗盐田钙杂质去除技术</w:t>
      </w:r>
    </w:p>
    <w:p>
      <w:pPr>
        <w:spacing w:line="360" w:lineRule="auto"/>
        <w:ind w:firstLine="643" w:firstLineChars="200"/>
        <w:rPr>
          <w:rFonts w:ascii="仿宋_GB2312" w:hAnsi="楷体" w:eastAsia="仿宋_GB2312"/>
          <w:b/>
          <w:color w:val="000000" w:themeColor="text1"/>
          <w:sz w:val="32"/>
          <w:szCs w:val="32"/>
          <w14:textFill>
            <w14:solidFill>
              <w14:schemeClr w14:val="tx1"/>
            </w14:solidFill>
          </w14:textFill>
        </w:rPr>
      </w:pPr>
      <w:r>
        <w:rPr>
          <w:rFonts w:hint="eastAsia" w:ascii="仿宋_GB2312" w:hAnsi="楷体" w:eastAsia="仿宋_GB2312"/>
          <w:b/>
          <w:color w:val="000000" w:themeColor="text1"/>
          <w:sz w:val="32"/>
          <w:szCs w:val="32"/>
          <w14:textFill>
            <w14:solidFill>
              <w14:schemeClr w14:val="tx1"/>
            </w14:solidFill>
          </w14:textFill>
        </w:rPr>
        <w:t>一、项目立项背景</w:t>
      </w:r>
    </w:p>
    <w:p>
      <w:pPr>
        <w:spacing w:line="360" w:lineRule="auto"/>
        <w:ind w:firstLine="560" w:firstLineChars="200"/>
        <w:rPr>
          <w:rFonts w:ascii="仿宋_GB2312" w:hAnsi="仿宋" w:eastAsia="仿宋_GB2312"/>
          <w:color w:val="000000" w:themeColor="text1"/>
          <w:spacing w:val="-20"/>
          <w:sz w:val="32"/>
          <w:szCs w:val="32"/>
          <w14:textFill>
            <w14:solidFill>
              <w14:schemeClr w14:val="tx1"/>
            </w14:solidFill>
          </w14:textFill>
        </w:rPr>
      </w:pPr>
      <w:r>
        <w:rPr>
          <w:rFonts w:hint="eastAsia" w:ascii="仿宋_GB2312" w:hAnsi="仿宋" w:eastAsia="仿宋_GB2312"/>
          <w:color w:val="000000" w:themeColor="text1"/>
          <w:spacing w:val="-20"/>
          <w:sz w:val="32"/>
          <w:szCs w:val="32"/>
          <w14:textFill>
            <w14:solidFill>
              <w14:schemeClr w14:val="tx1"/>
            </w14:solidFill>
          </w14:textFill>
        </w:rPr>
        <w:t>察尔汗盐湖晶间卤水日趋减少，随着公司固液转化项目的实施，矿区开采的原卤以固液转化卤水为主，随着老卤配制溶剂的不断注入，晶间卤水质量逐年下降和稀释，采区原卤中CaSO</w:t>
      </w:r>
      <w:r>
        <w:rPr>
          <w:rFonts w:hint="eastAsia" w:ascii="仿宋_GB2312" w:hAnsi="仿宋" w:eastAsia="仿宋_GB2312"/>
          <w:color w:val="000000" w:themeColor="text1"/>
          <w:spacing w:val="-20"/>
          <w:sz w:val="32"/>
          <w:szCs w:val="32"/>
          <w:vertAlign w:val="subscript"/>
          <w14:textFill>
            <w14:solidFill>
              <w14:schemeClr w14:val="tx1"/>
            </w14:solidFill>
          </w14:textFill>
        </w:rPr>
        <w:t>4</w:t>
      </w:r>
      <w:r>
        <w:rPr>
          <w:rFonts w:hint="eastAsia" w:ascii="仿宋_GB2312" w:hAnsi="仿宋" w:eastAsia="仿宋_GB2312"/>
          <w:color w:val="000000" w:themeColor="text1"/>
          <w:spacing w:val="-20"/>
          <w:sz w:val="32"/>
          <w:szCs w:val="32"/>
          <w14:textFill>
            <w14:solidFill>
              <w14:schemeClr w14:val="tx1"/>
            </w14:solidFill>
          </w14:textFill>
        </w:rPr>
        <w:t>的含量最低0.08%</w:t>
      </w:r>
      <w:r>
        <w:rPr>
          <w:rFonts w:hint="eastAsia" w:ascii="仿宋_GB2312" w:hAnsi="仿宋" w:eastAsia="仿宋_GB2312"/>
          <w:color w:val="000000" w:themeColor="text1"/>
          <w:spacing w:val="-20"/>
          <w:sz w:val="32"/>
          <w:szCs w:val="32"/>
          <w:lang w:eastAsia="zh-CN"/>
          <w14:textFill>
            <w14:solidFill>
              <w14:schemeClr w14:val="tx1"/>
            </w14:solidFill>
          </w14:textFill>
        </w:rPr>
        <w:t>，</w:t>
      </w:r>
      <w:r>
        <w:rPr>
          <w:rFonts w:hint="eastAsia" w:ascii="仿宋_GB2312" w:hAnsi="仿宋" w:eastAsia="仿宋_GB2312"/>
          <w:color w:val="000000" w:themeColor="text1"/>
          <w:spacing w:val="-20"/>
          <w:sz w:val="32"/>
          <w:szCs w:val="32"/>
          <w14:textFill>
            <w14:solidFill>
              <w14:schemeClr w14:val="tx1"/>
            </w14:solidFill>
          </w14:textFill>
        </w:rPr>
        <w:t>最高0.73%，Ca</w:t>
      </w:r>
      <w:r>
        <w:rPr>
          <w:rFonts w:hint="eastAsia" w:ascii="仿宋_GB2312" w:hAnsi="仿宋" w:eastAsia="仿宋_GB2312"/>
          <w:color w:val="000000" w:themeColor="text1"/>
          <w:spacing w:val="-20"/>
          <w:sz w:val="32"/>
          <w:szCs w:val="32"/>
          <w:vertAlign w:val="superscript"/>
          <w14:textFill>
            <w14:solidFill>
              <w14:schemeClr w14:val="tx1"/>
            </w14:solidFill>
          </w14:textFill>
        </w:rPr>
        <w:t>2+</w:t>
      </w:r>
      <w:r>
        <w:rPr>
          <w:rFonts w:hint="eastAsia" w:ascii="仿宋_GB2312" w:hAnsi="仿宋" w:eastAsia="仿宋_GB2312"/>
          <w:color w:val="000000" w:themeColor="text1"/>
          <w:spacing w:val="-20"/>
          <w:sz w:val="32"/>
          <w:szCs w:val="32"/>
          <w:vertAlign w:val="baseline"/>
          <w:lang w:eastAsia="zh-CN"/>
          <w14:textFill>
            <w14:solidFill>
              <w14:schemeClr w14:val="tx1"/>
            </w14:solidFill>
          </w14:textFill>
        </w:rPr>
        <w:t>、</w:t>
      </w:r>
      <w:r>
        <w:rPr>
          <w:rFonts w:hint="eastAsia" w:ascii="仿宋_GB2312" w:hAnsi="仿宋" w:eastAsia="仿宋_GB2312"/>
          <w:color w:val="000000" w:themeColor="text1"/>
          <w:spacing w:val="-20"/>
          <w:sz w:val="32"/>
          <w:szCs w:val="32"/>
          <w14:textFill>
            <w14:solidFill>
              <w14:schemeClr w14:val="tx1"/>
            </w14:solidFill>
          </w14:textFill>
        </w:rPr>
        <w:t>Mg</w:t>
      </w:r>
      <w:r>
        <w:rPr>
          <w:rFonts w:hint="eastAsia" w:ascii="仿宋_GB2312" w:hAnsi="仿宋" w:eastAsia="仿宋_GB2312"/>
          <w:color w:val="000000" w:themeColor="text1"/>
          <w:spacing w:val="-20"/>
          <w:sz w:val="32"/>
          <w:szCs w:val="32"/>
          <w:vertAlign w:val="superscript"/>
          <w14:textFill>
            <w14:solidFill>
              <w14:schemeClr w14:val="tx1"/>
            </w14:solidFill>
          </w14:textFill>
        </w:rPr>
        <w:t>2+</w:t>
      </w:r>
      <w:r>
        <w:rPr>
          <w:rFonts w:hint="eastAsia" w:ascii="仿宋_GB2312" w:hAnsi="仿宋" w:eastAsia="仿宋_GB2312"/>
          <w:color w:val="000000" w:themeColor="text1"/>
          <w:spacing w:val="-20"/>
          <w:sz w:val="32"/>
          <w:szCs w:val="32"/>
          <w:vertAlign w:val="baseline"/>
          <w:lang w:eastAsia="zh-CN"/>
          <w14:textFill>
            <w14:solidFill>
              <w14:schemeClr w14:val="tx1"/>
            </w14:solidFill>
          </w14:textFill>
        </w:rPr>
        <w:t>、</w:t>
      </w:r>
      <w:r>
        <w:rPr>
          <w:rFonts w:hint="eastAsia" w:ascii="仿宋_GB2312" w:hAnsi="仿宋" w:eastAsia="仿宋_GB2312"/>
          <w:color w:val="000000" w:themeColor="text1"/>
          <w:spacing w:val="-20"/>
          <w:sz w:val="32"/>
          <w:szCs w:val="32"/>
          <w14:textFill>
            <w14:solidFill>
              <w14:schemeClr w14:val="tx1"/>
            </w14:solidFill>
          </w14:textFill>
        </w:rPr>
        <w:t>Na</w:t>
      </w:r>
      <w:r>
        <w:rPr>
          <w:rFonts w:hint="eastAsia" w:ascii="仿宋_GB2312" w:hAnsi="仿宋" w:eastAsia="仿宋_GB2312"/>
          <w:color w:val="000000" w:themeColor="text1"/>
          <w:spacing w:val="-20"/>
          <w:sz w:val="32"/>
          <w:szCs w:val="32"/>
          <w:vertAlign w:val="superscript"/>
          <w14:textFill>
            <w14:solidFill>
              <w14:schemeClr w14:val="tx1"/>
            </w14:solidFill>
          </w14:textFill>
        </w:rPr>
        <w:t>+</w:t>
      </w:r>
      <w:r>
        <w:rPr>
          <w:rFonts w:hint="eastAsia" w:ascii="仿宋_GB2312" w:hAnsi="仿宋" w:eastAsia="仿宋_GB2312"/>
          <w:color w:val="000000" w:themeColor="text1"/>
          <w:spacing w:val="-20"/>
          <w:sz w:val="32"/>
          <w:szCs w:val="32"/>
          <w14:textFill>
            <w14:solidFill>
              <w14:schemeClr w14:val="tx1"/>
            </w14:solidFill>
          </w14:textFill>
        </w:rPr>
        <w:t>等杂质离子使得原料光卤石品位下降。钙杂质中大部分以离子形式存在，并有少量的CaSO</w:t>
      </w:r>
      <w:r>
        <w:rPr>
          <w:rFonts w:hint="eastAsia" w:ascii="仿宋_GB2312" w:hAnsi="仿宋" w:eastAsia="仿宋_GB2312"/>
          <w:color w:val="000000" w:themeColor="text1"/>
          <w:spacing w:val="-20"/>
          <w:sz w:val="32"/>
          <w:szCs w:val="32"/>
          <w:vertAlign w:val="subscript"/>
          <w14:textFill>
            <w14:solidFill>
              <w14:schemeClr w14:val="tx1"/>
            </w14:solidFill>
          </w14:textFill>
        </w:rPr>
        <w:t>4</w:t>
      </w:r>
      <w:r>
        <w:rPr>
          <w:rFonts w:hint="eastAsia" w:ascii="仿宋_GB2312" w:hAnsi="仿宋" w:eastAsia="仿宋_GB2312"/>
          <w:color w:val="000000" w:themeColor="text1"/>
          <w:spacing w:val="-20"/>
          <w:sz w:val="32"/>
          <w:szCs w:val="32"/>
          <w14:textFill>
            <w14:solidFill>
              <w14:schemeClr w14:val="tx1"/>
            </w14:solidFill>
          </w14:textFill>
        </w:rPr>
        <w:t>。由于Ga</w:t>
      </w:r>
      <w:r>
        <w:rPr>
          <w:rFonts w:hint="eastAsia" w:ascii="仿宋_GB2312" w:hAnsi="仿宋" w:eastAsia="仿宋_GB2312"/>
          <w:color w:val="000000" w:themeColor="text1"/>
          <w:spacing w:val="-20"/>
          <w:sz w:val="32"/>
          <w:szCs w:val="32"/>
          <w:vertAlign w:val="superscript"/>
          <w14:textFill>
            <w14:solidFill>
              <w14:schemeClr w14:val="tx1"/>
            </w14:solidFill>
          </w14:textFill>
        </w:rPr>
        <w:t>2+</w:t>
      </w:r>
      <w:r>
        <w:rPr>
          <w:rFonts w:hint="eastAsia" w:ascii="仿宋_GB2312" w:hAnsi="仿宋" w:eastAsia="仿宋_GB2312"/>
          <w:color w:val="000000" w:themeColor="text1"/>
          <w:spacing w:val="-20"/>
          <w:sz w:val="32"/>
          <w:szCs w:val="32"/>
          <w14:textFill>
            <w14:solidFill>
              <w14:schemeClr w14:val="tx1"/>
            </w14:solidFill>
          </w14:textFill>
        </w:rPr>
        <w:t>杂质的存在降低KCl产品质量和收率。因此从源头去除钙杂质是产品质量提升的关键。</w:t>
      </w:r>
    </w:p>
    <w:p>
      <w:pPr>
        <w:spacing w:line="360" w:lineRule="auto"/>
        <w:ind w:firstLine="643" w:firstLineChars="200"/>
        <w:rPr>
          <w:rFonts w:ascii="仿宋_GB2312" w:hAnsi="楷体" w:eastAsia="仿宋_GB2312"/>
          <w:b/>
          <w:color w:val="000000" w:themeColor="text1"/>
          <w:sz w:val="32"/>
          <w:szCs w:val="32"/>
          <w14:textFill>
            <w14:solidFill>
              <w14:schemeClr w14:val="tx1"/>
            </w14:solidFill>
          </w14:textFill>
        </w:rPr>
      </w:pPr>
      <w:r>
        <w:rPr>
          <w:rFonts w:hint="eastAsia" w:ascii="仿宋_GB2312" w:hAnsi="楷体" w:eastAsia="仿宋_GB2312"/>
          <w:b/>
          <w:color w:val="000000" w:themeColor="text1"/>
          <w:sz w:val="32"/>
          <w:szCs w:val="32"/>
          <w14:textFill>
            <w14:solidFill>
              <w14:schemeClr w14:val="tx1"/>
            </w14:solidFill>
          </w14:textFill>
        </w:rPr>
        <w:t>二、项目研究内容及预期目标</w:t>
      </w:r>
    </w:p>
    <w:p>
      <w:pPr>
        <w:spacing w:line="360" w:lineRule="auto"/>
        <w:ind w:firstLine="643" w:firstLineChars="200"/>
        <w:rPr>
          <w:rFonts w:ascii="仿宋_GB2312" w:hAnsi="楷体" w:eastAsia="仿宋_GB2312"/>
          <w:b/>
          <w:color w:val="000000" w:themeColor="text1"/>
          <w:sz w:val="32"/>
          <w:szCs w:val="32"/>
          <w14:textFill>
            <w14:solidFill>
              <w14:schemeClr w14:val="tx1"/>
            </w14:solidFill>
          </w14:textFill>
        </w:rPr>
      </w:pPr>
      <w:r>
        <w:rPr>
          <w:rFonts w:hint="eastAsia" w:ascii="仿宋_GB2312" w:hAnsi="楷体" w:eastAsia="仿宋_GB2312"/>
          <w:b/>
          <w:color w:val="000000" w:themeColor="text1"/>
          <w:sz w:val="32"/>
          <w:szCs w:val="32"/>
          <w14:textFill>
            <w14:solidFill>
              <w14:schemeClr w14:val="tx1"/>
            </w14:solidFill>
          </w14:textFill>
        </w:rPr>
        <w:t>（一）研究内容</w:t>
      </w:r>
    </w:p>
    <w:p>
      <w:pPr>
        <w:spacing w:line="360" w:lineRule="auto"/>
        <w:ind w:firstLine="560" w:firstLineChars="200"/>
        <w:rPr>
          <w:rFonts w:ascii="仿宋_GB2312" w:hAnsi="仿宋" w:eastAsia="仿宋_GB2312"/>
          <w:color w:val="000000" w:themeColor="text1"/>
          <w:spacing w:val="-20"/>
          <w:sz w:val="32"/>
          <w:szCs w:val="32"/>
          <w14:textFill>
            <w14:solidFill>
              <w14:schemeClr w14:val="tx1"/>
            </w14:solidFill>
          </w14:textFill>
        </w:rPr>
      </w:pPr>
      <w:r>
        <w:rPr>
          <w:rFonts w:hint="eastAsia" w:ascii="仿宋_GB2312" w:hAnsi="仿宋" w:eastAsia="仿宋_GB2312"/>
          <w:color w:val="000000" w:themeColor="text1"/>
          <w:spacing w:val="-20"/>
          <w:sz w:val="32"/>
          <w:szCs w:val="32"/>
          <w14:textFill>
            <w14:solidFill>
              <w14:schemeClr w14:val="tx1"/>
            </w14:solidFill>
          </w14:textFill>
        </w:rPr>
        <w:t>1.研究卤水主要组成及钙杂质的赋存机理；</w:t>
      </w:r>
    </w:p>
    <w:p>
      <w:pPr>
        <w:spacing w:line="360" w:lineRule="auto"/>
        <w:ind w:firstLine="560" w:firstLineChars="200"/>
        <w:rPr>
          <w:rFonts w:ascii="仿宋_GB2312" w:hAnsi="仿宋" w:eastAsia="仿宋_GB2312"/>
          <w:color w:val="000000" w:themeColor="text1"/>
          <w:spacing w:val="-20"/>
          <w:sz w:val="32"/>
          <w:szCs w:val="32"/>
          <w14:textFill>
            <w14:solidFill>
              <w14:schemeClr w14:val="tx1"/>
            </w14:solidFill>
          </w14:textFill>
        </w:rPr>
      </w:pPr>
      <w:r>
        <w:rPr>
          <w:rFonts w:hint="eastAsia" w:ascii="仿宋_GB2312" w:hAnsi="仿宋" w:eastAsia="仿宋_GB2312"/>
          <w:color w:val="000000" w:themeColor="text1"/>
          <w:spacing w:val="-20"/>
          <w:sz w:val="32"/>
          <w:szCs w:val="32"/>
          <w14:textFill>
            <w14:solidFill>
              <w14:schemeClr w14:val="tx1"/>
            </w14:solidFill>
          </w14:textFill>
        </w:rPr>
        <w:t>2.卤水中钙杂质对光卤石矿质量和浮选的影响；</w:t>
      </w:r>
    </w:p>
    <w:p>
      <w:pPr>
        <w:spacing w:line="360" w:lineRule="auto"/>
        <w:ind w:firstLine="560" w:firstLineChars="200"/>
        <w:rPr>
          <w:rFonts w:ascii="仿宋_GB2312" w:hAnsi="仿宋" w:eastAsia="仿宋_GB2312"/>
          <w:color w:val="000000" w:themeColor="text1"/>
          <w:spacing w:val="-20"/>
          <w:sz w:val="32"/>
          <w:szCs w:val="32"/>
          <w14:textFill>
            <w14:solidFill>
              <w14:schemeClr w14:val="tx1"/>
            </w14:solidFill>
          </w14:textFill>
        </w:rPr>
      </w:pPr>
      <w:r>
        <w:rPr>
          <w:rFonts w:hint="eastAsia" w:ascii="仿宋_GB2312" w:hAnsi="仿宋" w:eastAsia="仿宋_GB2312"/>
          <w:color w:val="000000" w:themeColor="text1"/>
          <w:spacing w:val="-20"/>
          <w:sz w:val="32"/>
          <w:szCs w:val="32"/>
          <w14:textFill>
            <w14:solidFill>
              <w14:schemeClr w14:val="tx1"/>
            </w14:solidFill>
          </w14:textFill>
        </w:rPr>
        <w:t>3.借鉴国内外除杂技术，研究卤水除杂的关键技术及产业化。</w:t>
      </w:r>
    </w:p>
    <w:p>
      <w:pPr>
        <w:spacing w:line="360" w:lineRule="auto"/>
        <w:ind w:firstLine="643" w:firstLineChars="200"/>
        <w:rPr>
          <w:rFonts w:ascii="仿宋_GB2312" w:hAnsi="楷体" w:eastAsia="仿宋_GB2312"/>
          <w:b/>
          <w:color w:val="000000" w:themeColor="text1"/>
          <w:sz w:val="32"/>
          <w:szCs w:val="32"/>
          <w14:textFill>
            <w14:solidFill>
              <w14:schemeClr w14:val="tx1"/>
            </w14:solidFill>
          </w14:textFill>
        </w:rPr>
      </w:pPr>
      <w:r>
        <w:rPr>
          <w:rFonts w:hint="eastAsia" w:ascii="仿宋_GB2312" w:hAnsi="楷体" w:eastAsia="仿宋_GB2312"/>
          <w:b/>
          <w:color w:val="000000" w:themeColor="text1"/>
          <w:sz w:val="32"/>
          <w:szCs w:val="32"/>
          <w14:textFill>
            <w14:solidFill>
              <w14:schemeClr w14:val="tx1"/>
            </w14:solidFill>
          </w14:textFill>
        </w:rPr>
        <w:t>（二）预期目标</w:t>
      </w:r>
    </w:p>
    <w:p>
      <w:pPr>
        <w:spacing w:line="360" w:lineRule="auto"/>
        <w:ind w:firstLine="560" w:firstLineChars="200"/>
        <w:rPr>
          <w:rFonts w:ascii="仿宋_GB2312" w:hAnsi="仿宋" w:eastAsia="仿宋_GB2312"/>
          <w:color w:val="000000" w:themeColor="text1"/>
          <w:spacing w:val="-20"/>
          <w:sz w:val="32"/>
          <w:szCs w:val="32"/>
          <w14:textFill>
            <w14:solidFill>
              <w14:schemeClr w14:val="tx1"/>
            </w14:solidFill>
          </w14:textFill>
        </w:rPr>
      </w:pPr>
      <w:r>
        <w:rPr>
          <w:rFonts w:hint="eastAsia" w:ascii="仿宋_GB2312" w:hAnsi="仿宋" w:eastAsia="仿宋_GB2312"/>
          <w:color w:val="000000" w:themeColor="text1"/>
          <w:spacing w:val="-20"/>
          <w:sz w:val="32"/>
          <w:szCs w:val="32"/>
          <w14:textFill>
            <w14:solidFill>
              <w14:schemeClr w14:val="tx1"/>
            </w14:solidFill>
          </w14:textFill>
        </w:rPr>
        <w:t>1.掌握盐湖卤水Ca</w:t>
      </w:r>
      <w:r>
        <w:rPr>
          <w:rFonts w:hint="eastAsia" w:ascii="仿宋_GB2312" w:hAnsi="仿宋" w:eastAsia="仿宋_GB2312"/>
          <w:color w:val="000000" w:themeColor="text1"/>
          <w:spacing w:val="-20"/>
          <w:sz w:val="32"/>
          <w:szCs w:val="32"/>
          <w:vertAlign w:val="superscript"/>
          <w14:textFill>
            <w14:solidFill>
              <w14:schemeClr w14:val="tx1"/>
            </w14:solidFill>
          </w14:textFill>
        </w:rPr>
        <w:t>2+</w:t>
      </w:r>
      <w:r>
        <w:rPr>
          <w:rFonts w:hint="eastAsia" w:ascii="仿宋_GB2312" w:hAnsi="仿宋" w:eastAsia="仿宋_GB2312"/>
          <w:color w:val="000000" w:themeColor="text1"/>
          <w:spacing w:val="-20"/>
          <w:sz w:val="32"/>
          <w:szCs w:val="32"/>
          <w14:textFill>
            <w14:solidFill>
              <w14:schemeClr w14:val="tx1"/>
            </w14:solidFill>
          </w14:textFill>
        </w:rPr>
        <w:t>杂质赋存机理；</w:t>
      </w:r>
    </w:p>
    <w:p>
      <w:pPr>
        <w:spacing w:line="360" w:lineRule="auto"/>
        <w:ind w:firstLine="560" w:firstLineChars="200"/>
        <w:rPr>
          <w:rFonts w:ascii="仿宋_GB2312" w:hAnsi="仿宋" w:eastAsia="仿宋_GB2312"/>
          <w:color w:val="000000" w:themeColor="text1"/>
          <w:spacing w:val="-20"/>
          <w:sz w:val="32"/>
          <w:szCs w:val="32"/>
          <w14:textFill>
            <w14:solidFill>
              <w14:schemeClr w14:val="tx1"/>
            </w14:solidFill>
          </w14:textFill>
        </w:rPr>
      </w:pPr>
      <w:r>
        <w:rPr>
          <w:rFonts w:hint="eastAsia" w:ascii="仿宋_GB2312" w:hAnsi="仿宋" w:eastAsia="仿宋_GB2312"/>
          <w:color w:val="000000" w:themeColor="text1"/>
          <w:spacing w:val="-20"/>
          <w:sz w:val="32"/>
          <w:szCs w:val="32"/>
          <w14:textFill>
            <w14:solidFill>
              <w14:schemeClr w14:val="tx1"/>
            </w14:solidFill>
          </w14:textFill>
        </w:rPr>
        <w:t>2.掌握钙杂质对盐田光卤石矿质量的影响规律以及对浮选的影响规律；</w:t>
      </w:r>
    </w:p>
    <w:p>
      <w:pPr>
        <w:spacing w:line="360" w:lineRule="auto"/>
        <w:ind w:firstLine="560" w:firstLineChars="200"/>
        <w:rPr>
          <w:rFonts w:ascii="仿宋_GB2312" w:hAnsi="仿宋" w:eastAsia="仿宋_GB2312"/>
          <w:color w:val="000000" w:themeColor="text1"/>
          <w:spacing w:val="-20"/>
          <w:sz w:val="32"/>
          <w:szCs w:val="32"/>
          <w14:textFill>
            <w14:solidFill>
              <w14:schemeClr w14:val="tx1"/>
            </w14:solidFill>
          </w14:textFill>
        </w:rPr>
      </w:pPr>
      <w:r>
        <w:rPr>
          <w:rFonts w:hint="eastAsia" w:ascii="仿宋_GB2312" w:hAnsi="仿宋" w:eastAsia="仿宋_GB2312"/>
          <w:color w:val="000000" w:themeColor="text1"/>
          <w:spacing w:val="-20"/>
          <w:sz w:val="32"/>
          <w:szCs w:val="32"/>
          <w14:textFill>
            <w14:solidFill>
              <w14:schemeClr w14:val="tx1"/>
            </w14:solidFill>
          </w14:textFill>
        </w:rPr>
        <w:t>3.获取卤水中钙的存在形式和结晶析盐规律，对现有工艺中所用相图数据进行进一步优化，并根据精准获取的相平衡研究结果指导工艺优化，进一步提高钾盐收率；</w:t>
      </w:r>
    </w:p>
    <w:p>
      <w:pPr>
        <w:spacing w:line="360" w:lineRule="auto"/>
        <w:ind w:firstLine="560" w:firstLineChars="200"/>
        <w:rPr>
          <w:rFonts w:ascii="仿宋_GB2312" w:hAnsi="仿宋" w:eastAsia="仿宋_GB2312"/>
          <w:color w:val="000000" w:themeColor="text1"/>
          <w:spacing w:val="-20"/>
          <w:sz w:val="32"/>
          <w:szCs w:val="32"/>
          <w14:textFill>
            <w14:solidFill>
              <w14:schemeClr w14:val="tx1"/>
            </w14:solidFill>
          </w14:textFill>
        </w:rPr>
      </w:pPr>
      <w:r>
        <w:rPr>
          <w:rFonts w:hint="eastAsia" w:ascii="仿宋_GB2312" w:hAnsi="仿宋" w:eastAsia="仿宋_GB2312"/>
          <w:color w:val="000000" w:themeColor="text1"/>
          <w:spacing w:val="-20"/>
          <w:sz w:val="32"/>
          <w:szCs w:val="32"/>
          <w14:textFill>
            <w14:solidFill>
              <w14:schemeClr w14:val="tx1"/>
            </w14:solidFill>
          </w14:textFill>
        </w:rPr>
        <w:t>4.开发出一种卤水除钙的产业化技术。</w:t>
      </w:r>
    </w:p>
    <w:p>
      <w:pPr>
        <w:spacing w:line="360" w:lineRule="auto"/>
        <w:ind w:firstLine="643" w:firstLineChars="200"/>
        <w:rPr>
          <w:rFonts w:ascii="仿宋_GB2312" w:hAnsi="楷体" w:eastAsia="仿宋_GB2312"/>
          <w:b/>
          <w:color w:val="000000" w:themeColor="text1"/>
          <w:sz w:val="32"/>
          <w:szCs w:val="32"/>
          <w14:textFill>
            <w14:solidFill>
              <w14:schemeClr w14:val="tx1"/>
            </w14:solidFill>
          </w14:textFill>
        </w:rPr>
      </w:pPr>
      <w:r>
        <w:rPr>
          <w:rFonts w:hint="eastAsia" w:ascii="仿宋_GB2312" w:hAnsi="楷体" w:eastAsia="仿宋_GB2312"/>
          <w:b/>
          <w:color w:val="000000" w:themeColor="text1"/>
          <w:sz w:val="32"/>
          <w:szCs w:val="32"/>
          <w14:textFill>
            <w14:solidFill>
              <w14:schemeClr w14:val="tx1"/>
            </w14:solidFill>
          </w14:textFill>
        </w:rPr>
        <w:t>三、项目研究合作模式</w:t>
      </w:r>
    </w:p>
    <w:p>
      <w:pPr>
        <w:spacing w:line="360" w:lineRule="auto"/>
        <w:ind w:firstLine="560" w:firstLineChars="200"/>
        <w:rPr>
          <w:rFonts w:ascii="仿宋_GB2312"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pacing w:val="-20"/>
          <w:sz w:val="32"/>
          <w:szCs w:val="32"/>
          <w14:textFill>
            <w14:solidFill>
              <w14:schemeClr w14:val="tx1"/>
            </w14:solidFill>
          </w14:textFill>
        </w:rPr>
        <w:t>本项目将由青海盐湖工业股份有限公司作为投资主体，通过“揭榜挂帅”的方式引进科研院所、高校、企业等进行联合攻关，或技术引进。</w:t>
      </w:r>
    </w:p>
    <w:p>
      <w:pPr>
        <w:rPr>
          <w:rFonts w:ascii="仿宋_GB2312" w:eastAsia="仿宋_GB2312"/>
          <w:color w:val="000000" w:themeColor="text1"/>
          <w:sz w:val="32"/>
          <w:szCs w:val="32"/>
          <w14:textFill>
            <w14:solidFill>
              <w14:schemeClr w14:val="tx1"/>
            </w14:solidFill>
          </w14:textFill>
        </w:rPr>
      </w:pPr>
      <w:r>
        <w:rPr>
          <w:rFonts w:ascii="仿宋_GB2312" w:eastAsia="仿宋_GB2312"/>
          <w:color w:val="000000" w:themeColor="text1"/>
          <w:sz w:val="32"/>
          <w:szCs w:val="32"/>
          <w14:textFill>
            <w14:solidFill>
              <w14:schemeClr w14:val="tx1"/>
            </w14:solidFill>
          </w14:textFill>
        </w:rPr>
        <w:br w:type="page"/>
      </w:r>
    </w:p>
    <w:p>
      <w:pPr>
        <w:spacing w:line="360" w:lineRule="auto"/>
        <w:jc w:val="center"/>
        <w:rPr>
          <w:rFonts w:ascii="仿宋_GB2312" w:hAnsi="黑体" w:eastAsia="仿宋_GB2312" w:cs="Times New Roman"/>
          <w:b/>
          <w:color w:val="000000" w:themeColor="text1"/>
          <w:sz w:val="32"/>
          <w:szCs w:val="32"/>
          <w14:textFill>
            <w14:solidFill>
              <w14:schemeClr w14:val="tx1"/>
            </w14:solidFill>
          </w14:textFill>
        </w:rPr>
      </w:pPr>
      <w:r>
        <w:rPr>
          <w:rFonts w:hint="eastAsia" w:ascii="仿宋_GB2312" w:hAnsi="华文中宋" w:eastAsia="仿宋_GB2312"/>
          <w:b/>
          <w:color w:val="000000" w:themeColor="text1"/>
          <w:sz w:val="32"/>
          <w:szCs w:val="32"/>
          <w14:textFill>
            <w14:solidFill>
              <w14:schemeClr w14:val="tx1"/>
            </w14:solidFill>
          </w14:textFill>
        </w:rPr>
        <w:t>项目9  盐湖卤水提铷技术</w:t>
      </w:r>
    </w:p>
    <w:p>
      <w:pPr>
        <w:spacing w:line="360" w:lineRule="auto"/>
        <w:ind w:firstLine="643" w:firstLineChars="200"/>
        <w:rPr>
          <w:rFonts w:ascii="仿宋_GB2312" w:hAnsi="楷体" w:eastAsia="仿宋_GB2312" w:cs="Times New Roman"/>
          <w:b/>
          <w:color w:val="000000" w:themeColor="text1"/>
          <w:sz w:val="32"/>
          <w:szCs w:val="32"/>
          <w14:textFill>
            <w14:solidFill>
              <w14:schemeClr w14:val="tx1"/>
            </w14:solidFill>
          </w14:textFill>
        </w:rPr>
      </w:pPr>
      <w:r>
        <w:rPr>
          <w:rFonts w:hint="eastAsia" w:ascii="仿宋_GB2312" w:hAnsi="楷体" w:eastAsia="仿宋_GB2312" w:cs="Times New Roman"/>
          <w:b/>
          <w:color w:val="000000" w:themeColor="text1"/>
          <w:sz w:val="32"/>
          <w:szCs w:val="32"/>
          <w14:textFill>
            <w14:solidFill>
              <w14:schemeClr w14:val="tx1"/>
            </w14:solidFill>
          </w14:textFill>
        </w:rPr>
        <w:t>一、项目立项背景</w:t>
      </w:r>
    </w:p>
    <w:p>
      <w:pPr>
        <w:spacing w:line="360" w:lineRule="auto"/>
        <w:ind w:firstLine="560" w:firstLineChars="200"/>
        <w:rPr>
          <w:rFonts w:ascii="仿宋_GB2312" w:hAnsi="宋体" w:eastAsia="仿宋_GB2312" w:cs="Times New Roman"/>
          <w:color w:val="000000" w:themeColor="text1"/>
          <w:spacing w:val="-20"/>
          <w:sz w:val="32"/>
          <w:szCs w:val="32"/>
          <w14:textFill>
            <w14:solidFill>
              <w14:schemeClr w14:val="tx1"/>
            </w14:solidFill>
          </w14:textFill>
        </w:rPr>
      </w:pPr>
      <w:r>
        <w:rPr>
          <w:rFonts w:hint="eastAsia" w:ascii="仿宋_GB2312" w:hAnsi="宋体" w:eastAsia="仿宋_GB2312" w:cs="Times New Roman"/>
          <w:color w:val="000000" w:themeColor="text1"/>
          <w:spacing w:val="-20"/>
          <w:sz w:val="32"/>
          <w:szCs w:val="32"/>
          <w14:textFill>
            <w14:solidFill>
              <w14:schemeClr w14:val="tx1"/>
            </w14:solidFill>
          </w14:textFill>
        </w:rPr>
        <w:t>察尔汗盐湖是我国最大盐湖，是建设世界级盐湖产业基地的主战场，察尔汗盐湖中富含丰富钾镁锂及铷铯等稀有珍贵资源，针对察尔汗开展铷资源的开发利用意义重大。青海察尔汗盐湖卤水富含锂（Li</w:t>
      </w:r>
      <w:r>
        <w:rPr>
          <w:rFonts w:hint="eastAsia" w:ascii="仿宋_GB2312" w:hAnsi="宋体" w:eastAsia="仿宋_GB2312" w:cs="Times New Roman"/>
          <w:color w:val="000000" w:themeColor="text1"/>
          <w:spacing w:val="-20"/>
          <w:sz w:val="32"/>
          <w:szCs w:val="32"/>
          <w:vertAlign w:val="superscript"/>
          <w14:textFill>
            <w14:solidFill>
              <w14:schemeClr w14:val="tx1"/>
            </w14:solidFill>
          </w14:textFill>
        </w:rPr>
        <w:t>+</w:t>
      </w:r>
      <w:r>
        <w:rPr>
          <w:rFonts w:hint="eastAsia" w:ascii="仿宋_GB2312" w:hAnsi="宋体" w:eastAsia="仿宋_GB2312" w:cs="Times New Roman"/>
          <w:color w:val="000000" w:themeColor="text1"/>
          <w:spacing w:val="-20"/>
          <w:sz w:val="32"/>
          <w:szCs w:val="32"/>
          <w14:textFill>
            <w14:solidFill>
              <w14:schemeClr w14:val="tx1"/>
            </w14:solidFill>
          </w14:textFill>
        </w:rPr>
        <w:t>，100-300 mg/L）和铷（Rb</w:t>
      </w:r>
      <w:r>
        <w:rPr>
          <w:rFonts w:hint="eastAsia" w:ascii="仿宋_GB2312" w:hAnsi="宋体" w:eastAsia="仿宋_GB2312" w:cs="Times New Roman"/>
          <w:color w:val="000000" w:themeColor="text1"/>
          <w:spacing w:val="-20"/>
          <w:sz w:val="32"/>
          <w:szCs w:val="32"/>
          <w:vertAlign w:val="superscript"/>
          <w14:textFill>
            <w14:solidFill>
              <w14:schemeClr w14:val="tx1"/>
            </w14:solidFill>
          </w14:textFill>
        </w:rPr>
        <w:t>+</w:t>
      </w:r>
      <w:r>
        <w:rPr>
          <w:rFonts w:hint="eastAsia" w:ascii="仿宋_GB2312" w:hAnsi="宋体" w:eastAsia="仿宋_GB2312" w:cs="Times New Roman"/>
          <w:color w:val="000000" w:themeColor="text1"/>
          <w:spacing w:val="-20"/>
          <w:sz w:val="32"/>
          <w:szCs w:val="32"/>
          <w14:textFill>
            <w14:solidFill>
              <w14:schemeClr w14:val="tx1"/>
            </w14:solidFill>
          </w14:textFill>
        </w:rPr>
        <w:t>，10-15 mg/L）。由于理化性质相近，K</w:t>
      </w:r>
      <w:r>
        <w:rPr>
          <w:rFonts w:hint="eastAsia" w:ascii="仿宋_GB2312" w:hAnsi="宋体" w:eastAsia="仿宋_GB2312" w:cs="Times New Roman"/>
          <w:color w:val="000000" w:themeColor="text1"/>
          <w:spacing w:val="-20"/>
          <w:sz w:val="32"/>
          <w:szCs w:val="32"/>
          <w:vertAlign w:val="superscript"/>
          <w14:textFill>
            <w14:solidFill>
              <w14:schemeClr w14:val="tx1"/>
            </w14:solidFill>
          </w14:textFill>
        </w:rPr>
        <w:t>+</w:t>
      </w:r>
      <w:r>
        <w:rPr>
          <w:rFonts w:hint="eastAsia" w:ascii="仿宋_GB2312" w:hAnsi="宋体" w:eastAsia="仿宋_GB2312" w:cs="Times New Roman"/>
          <w:color w:val="000000" w:themeColor="text1"/>
          <w:spacing w:val="-20"/>
          <w:sz w:val="32"/>
          <w:szCs w:val="32"/>
          <w14:textFill>
            <w14:solidFill>
              <w14:schemeClr w14:val="tx1"/>
            </w14:solidFill>
          </w14:textFill>
        </w:rPr>
        <w:t>和Rb</w:t>
      </w:r>
      <w:r>
        <w:rPr>
          <w:rFonts w:hint="eastAsia" w:ascii="仿宋_GB2312" w:hAnsi="宋体" w:eastAsia="仿宋_GB2312" w:cs="Times New Roman"/>
          <w:color w:val="000000" w:themeColor="text1"/>
          <w:spacing w:val="-20"/>
          <w:sz w:val="32"/>
          <w:szCs w:val="32"/>
          <w:vertAlign w:val="superscript"/>
          <w14:textFill>
            <w14:solidFill>
              <w14:schemeClr w14:val="tx1"/>
            </w14:solidFill>
          </w14:textFill>
        </w:rPr>
        <w:t>+</w:t>
      </w:r>
      <w:r>
        <w:rPr>
          <w:rFonts w:hint="eastAsia" w:ascii="仿宋_GB2312" w:hAnsi="宋体" w:eastAsia="仿宋_GB2312" w:cs="Times New Roman"/>
          <w:color w:val="000000" w:themeColor="text1"/>
          <w:spacing w:val="-20"/>
          <w:sz w:val="32"/>
          <w:szCs w:val="32"/>
          <w14:textFill>
            <w14:solidFill>
              <w14:schemeClr w14:val="tx1"/>
            </w14:solidFill>
          </w14:textFill>
        </w:rPr>
        <w:t>尺寸最相近，提K</w:t>
      </w:r>
      <w:r>
        <w:rPr>
          <w:rFonts w:hint="eastAsia" w:ascii="仿宋_GB2312" w:hAnsi="宋体" w:eastAsia="仿宋_GB2312" w:cs="Times New Roman"/>
          <w:color w:val="000000" w:themeColor="text1"/>
          <w:spacing w:val="-20"/>
          <w:sz w:val="32"/>
          <w:szCs w:val="32"/>
          <w:vertAlign w:val="superscript"/>
          <w14:textFill>
            <w14:solidFill>
              <w14:schemeClr w14:val="tx1"/>
            </w14:solidFill>
          </w14:textFill>
        </w:rPr>
        <w:t>+</w:t>
      </w:r>
      <w:r>
        <w:rPr>
          <w:rFonts w:hint="eastAsia" w:ascii="仿宋_GB2312" w:hAnsi="宋体" w:eastAsia="仿宋_GB2312" w:cs="Times New Roman"/>
          <w:color w:val="000000" w:themeColor="text1"/>
          <w:spacing w:val="-20"/>
          <w:sz w:val="32"/>
          <w:szCs w:val="32"/>
          <w14:textFill>
            <w14:solidFill>
              <w14:schemeClr w14:val="tx1"/>
            </w14:solidFill>
          </w14:textFill>
        </w:rPr>
        <w:t>后老卤Rb</w:t>
      </w:r>
      <w:r>
        <w:rPr>
          <w:rFonts w:hint="eastAsia" w:ascii="仿宋_GB2312" w:hAnsi="宋体" w:eastAsia="仿宋_GB2312" w:cs="Times New Roman"/>
          <w:color w:val="000000" w:themeColor="text1"/>
          <w:spacing w:val="-20"/>
          <w:sz w:val="32"/>
          <w:szCs w:val="32"/>
          <w:vertAlign w:val="superscript"/>
          <w14:textFill>
            <w14:solidFill>
              <w14:schemeClr w14:val="tx1"/>
            </w14:solidFill>
          </w14:textFill>
        </w:rPr>
        <w:t>+</w:t>
      </w:r>
      <w:r>
        <w:rPr>
          <w:rFonts w:hint="eastAsia" w:ascii="仿宋_GB2312" w:hAnsi="宋体" w:eastAsia="仿宋_GB2312" w:cs="Times New Roman"/>
          <w:color w:val="000000" w:themeColor="text1"/>
          <w:spacing w:val="-20"/>
          <w:sz w:val="32"/>
          <w:szCs w:val="32"/>
          <w14:textFill>
            <w14:solidFill>
              <w14:schemeClr w14:val="tx1"/>
            </w14:solidFill>
          </w14:textFill>
        </w:rPr>
        <w:t>流失99%，Li</w:t>
      </w:r>
      <w:r>
        <w:rPr>
          <w:rFonts w:hint="eastAsia" w:ascii="仿宋_GB2312" w:hAnsi="宋体" w:eastAsia="仿宋_GB2312" w:cs="Times New Roman"/>
          <w:color w:val="000000" w:themeColor="text1"/>
          <w:spacing w:val="-20"/>
          <w:sz w:val="32"/>
          <w:szCs w:val="32"/>
          <w:vertAlign w:val="superscript"/>
          <w14:textFill>
            <w14:solidFill>
              <w14:schemeClr w14:val="tx1"/>
            </w14:solidFill>
          </w14:textFill>
        </w:rPr>
        <w:t>+</w:t>
      </w:r>
      <w:r>
        <w:rPr>
          <w:rFonts w:hint="eastAsia" w:ascii="仿宋_GB2312" w:hAnsi="宋体" w:eastAsia="仿宋_GB2312" w:cs="Times New Roman"/>
          <w:color w:val="000000" w:themeColor="text1"/>
          <w:spacing w:val="-20"/>
          <w:sz w:val="32"/>
          <w:szCs w:val="32"/>
          <w14:textFill>
            <w14:solidFill>
              <w14:schemeClr w14:val="tx1"/>
            </w14:solidFill>
          </w14:textFill>
        </w:rPr>
        <w:t>流失54%。因此，有必要改进和发展工艺技术，先行分离盐湖卤水中锂和铷，提升盐湖工业资源化利用价值。</w:t>
      </w:r>
    </w:p>
    <w:p>
      <w:pPr>
        <w:spacing w:line="360" w:lineRule="auto"/>
        <w:ind w:firstLine="560" w:firstLineChars="200"/>
        <w:rPr>
          <w:rFonts w:ascii="仿宋_GB2312" w:hAnsi="宋体" w:eastAsia="仿宋_GB2312" w:cs="Times New Roman"/>
          <w:color w:val="000000" w:themeColor="text1"/>
          <w:spacing w:val="-20"/>
          <w:sz w:val="32"/>
          <w:szCs w:val="32"/>
          <w14:textFill>
            <w14:solidFill>
              <w14:schemeClr w14:val="tx1"/>
            </w14:solidFill>
          </w14:textFill>
        </w:rPr>
      </w:pPr>
      <w:r>
        <w:rPr>
          <w:rFonts w:hint="eastAsia" w:ascii="仿宋_GB2312" w:hAnsi="宋体" w:eastAsia="仿宋_GB2312" w:cs="Times New Roman"/>
          <w:color w:val="000000" w:themeColor="text1"/>
          <w:spacing w:val="-20"/>
          <w:sz w:val="32"/>
          <w:szCs w:val="32"/>
          <w14:textFill>
            <w14:solidFill>
              <w14:schemeClr w14:val="tx1"/>
            </w14:solidFill>
          </w14:textFill>
        </w:rPr>
        <w:t>青海察尔汗盐湖卤水成分复杂，尤其是锂铷分离难。干扰主要来源于：同族一价碱金属Na</w:t>
      </w:r>
      <w:r>
        <w:rPr>
          <w:rFonts w:hint="eastAsia" w:ascii="仿宋_GB2312" w:hAnsi="宋体" w:eastAsia="仿宋_GB2312" w:cs="Times New Roman"/>
          <w:color w:val="000000" w:themeColor="text1"/>
          <w:spacing w:val="-20"/>
          <w:sz w:val="32"/>
          <w:szCs w:val="32"/>
          <w:vertAlign w:val="superscript"/>
          <w14:textFill>
            <w14:solidFill>
              <w14:schemeClr w14:val="tx1"/>
            </w14:solidFill>
          </w14:textFill>
        </w:rPr>
        <w:t>+</w:t>
      </w:r>
      <w:r>
        <w:rPr>
          <w:rFonts w:hint="eastAsia" w:ascii="仿宋_GB2312" w:hAnsi="宋体" w:eastAsia="仿宋_GB2312" w:cs="Times New Roman"/>
          <w:color w:val="000000" w:themeColor="text1"/>
          <w:spacing w:val="-20"/>
          <w:sz w:val="32"/>
          <w:szCs w:val="32"/>
          <w14:textFill>
            <w14:solidFill>
              <w14:schemeClr w14:val="tx1"/>
            </w14:solidFill>
          </w14:textFill>
        </w:rPr>
        <w:t>/ K</w:t>
      </w:r>
      <w:r>
        <w:rPr>
          <w:rFonts w:hint="eastAsia" w:ascii="仿宋_GB2312" w:hAnsi="宋体" w:eastAsia="仿宋_GB2312" w:cs="Times New Roman"/>
          <w:color w:val="000000" w:themeColor="text1"/>
          <w:spacing w:val="-20"/>
          <w:sz w:val="32"/>
          <w:szCs w:val="32"/>
          <w:vertAlign w:val="superscript"/>
          <w14:textFill>
            <w14:solidFill>
              <w14:schemeClr w14:val="tx1"/>
            </w14:solidFill>
          </w14:textFill>
        </w:rPr>
        <w:t>+</w:t>
      </w:r>
      <w:r>
        <w:rPr>
          <w:rFonts w:hint="eastAsia" w:ascii="仿宋_GB2312" w:hAnsi="宋体" w:eastAsia="仿宋_GB2312" w:cs="Times New Roman"/>
          <w:color w:val="000000" w:themeColor="text1"/>
          <w:spacing w:val="-20"/>
          <w:sz w:val="32"/>
          <w:szCs w:val="32"/>
          <w14:textFill>
            <w14:solidFill>
              <w14:schemeClr w14:val="tx1"/>
            </w14:solidFill>
          </w14:textFill>
        </w:rPr>
        <w:t>（1-2 g/L），以及高含量Mg</w:t>
      </w:r>
      <w:r>
        <w:rPr>
          <w:rFonts w:hint="eastAsia" w:ascii="仿宋_GB2312" w:hAnsi="宋体" w:eastAsia="仿宋_GB2312" w:cs="Times New Roman"/>
          <w:color w:val="000000" w:themeColor="text1"/>
          <w:spacing w:val="-20"/>
          <w:sz w:val="32"/>
          <w:szCs w:val="32"/>
          <w:vertAlign w:val="superscript"/>
          <w14:textFill>
            <w14:solidFill>
              <w14:schemeClr w14:val="tx1"/>
            </w14:solidFill>
          </w14:textFill>
        </w:rPr>
        <w:t>2+</w:t>
      </w:r>
      <w:r>
        <w:rPr>
          <w:rFonts w:hint="eastAsia" w:ascii="仿宋_GB2312" w:hAnsi="宋体" w:eastAsia="仿宋_GB2312" w:cs="Times New Roman"/>
          <w:color w:val="000000" w:themeColor="text1"/>
          <w:spacing w:val="-20"/>
          <w:sz w:val="32"/>
          <w:szCs w:val="32"/>
          <w14:textFill>
            <w14:solidFill>
              <w14:schemeClr w14:val="tx1"/>
            </w14:solidFill>
          </w14:textFill>
        </w:rPr>
        <w:t>（6 g/L）。盐湖卤水中锂铷的高效分离技术既是制约盐湖卤水资源化利用的瓶颈，也是分离科学领域里的一个挑战，涉及一价碱金属之间分离，一价和二价金属镁分离的科学问题。盐湖卤水锂铷的分离兼具国民经济、国防和科学价值。</w:t>
      </w:r>
    </w:p>
    <w:p>
      <w:pPr>
        <w:spacing w:line="360" w:lineRule="auto"/>
        <w:ind w:firstLine="643" w:firstLineChars="200"/>
        <w:rPr>
          <w:rFonts w:ascii="仿宋_GB2312" w:hAnsi="楷体" w:eastAsia="仿宋_GB2312" w:cs="Times New Roman"/>
          <w:b/>
          <w:color w:val="000000" w:themeColor="text1"/>
          <w:sz w:val="32"/>
          <w:szCs w:val="32"/>
          <w14:textFill>
            <w14:solidFill>
              <w14:schemeClr w14:val="tx1"/>
            </w14:solidFill>
          </w14:textFill>
        </w:rPr>
      </w:pPr>
      <w:r>
        <w:rPr>
          <w:rFonts w:hint="eastAsia" w:ascii="仿宋_GB2312" w:hAnsi="楷体" w:eastAsia="仿宋_GB2312" w:cs="Times New Roman"/>
          <w:b/>
          <w:color w:val="000000" w:themeColor="text1"/>
          <w:sz w:val="32"/>
          <w:szCs w:val="32"/>
          <w14:textFill>
            <w14:solidFill>
              <w14:schemeClr w14:val="tx1"/>
            </w14:solidFill>
          </w14:textFill>
        </w:rPr>
        <w:t>二、项目研究内容、预期目标</w:t>
      </w:r>
    </w:p>
    <w:p>
      <w:pPr>
        <w:spacing w:line="360" w:lineRule="auto"/>
        <w:ind w:firstLine="643" w:firstLineChars="200"/>
        <w:rPr>
          <w:rFonts w:ascii="仿宋_GB2312" w:hAnsi="楷体" w:eastAsia="仿宋_GB2312" w:cs="Times New Roman"/>
          <w:b/>
          <w:color w:val="000000" w:themeColor="text1"/>
          <w:sz w:val="32"/>
          <w:szCs w:val="32"/>
          <w14:textFill>
            <w14:solidFill>
              <w14:schemeClr w14:val="tx1"/>
            </w14:solidFill>
          </w14:textFill>
        </w:rPr>
      </w:pPr>
      <w:r>
        <w:rPr>
          <w:rFonts w:hint="eastAsia" w:ascii="仿宋_GB2312" w:hAnsi="楷体" w:eastAsia="仿宋_GB2312" w:cs="Times New Roman"/>
          <w:b/>
          <w:color w:val="000000" w:themeColor="text1"/>
          <w:sz w:val="32"/>
          <w:szCs w:val="32"/>
          <w14:textFill>
            <w14:solidFill>
              <w14:schemeClr w14:val="tx1"/>
            </w14:solidFill>
          </w14:textFill>
        </w:rPr>
        <w:t>（一）研究内容</w:t>
      </w:r>
    </w:p>
    <w:p>
      <w:pPr>
        <w:spacing w:line="360" w:lineRule="auto"/>
        <w:ind w:firstLine="560" w:firstLineChars="200"/>
        <w:rPr>
          <w:rFonts w:ascii="仿宋_GB2312" w:hAnsi="宋体" w:eastAsia="仿宋_GB2312" w:cs="Times New Roman"/>
          <w:color w:val="000000" w:themeColor="text1"/>
          <w:spacing w:val="-20"/>
          <w:sz w:val="32"/>
          <w:szCs w:val="32"/>
          <w14:textFill>
            <w14:solidFill>
              <w14:schemeClr w14:val="tx1"/>
            </w14:solidFill>
          </w14:textFill>
        </w:rPr>
      </w:pPr>
      <w:r>
        <w:rPr>
          <w:rFonts w:hint="eastAsia" w:ascii="仿宋_GB2312" w:hAnsi="宋体" w:eastAsia="仿宋_GB2312" w:cs="Times New Roman"/>
          <w:color w:val="000000" w:themeColor="text1"/>
          <w:spacing w:val="-20"/>
          <w:sz w:val="32"/>
          <w:szCs w:val="32"/>
          <w14:textFill>
            <w14:solidFill>
              <w14:schemeClr w14:val="tx1"/>
            </w14:solidFill>
          </w14:textFill>
        </w:rPr>
        <w:t>1.盐湖铷资源量勘测；铷在盐湖卤水，从原卤到老卤（包括提锂后老卤）的富集规律研究；</w:t>
      </w:r>
    </w:p>
    <w:p>
      <w:pPr>
        <w:spacing w:line="360" w:lineRule="auto"/>
        <w:ind w:firstLine="560" w:firstLineChars="200"/>
        <w:rPr>
          <w:rFonts w:ascii="仿宋_GB2312" w:hAnsi="宋体" w:eastAsia="仿宋_GB2312" w:cs="Times New Roman"/>
          <w:color w:val="000000" w:themeColor="text1"/>
          <w:spacing w:val="-20"/>
          <w:sz w:val="32"/>
          <w:szCs w:val="32"/>
          <w14:textFill>
            <w14:solidFill>
              <w14:schemeClr w14:val="tx1"/>
            </w14:solidFill>
          </w14:textFill>
        </w:rPr>
      </w:pPr>
      <w:r>
        <w:rPr>
          <w:rFonts w:hint="eastAsia" w:ascii="仿宋_GB2312" w:hAnsi="宋体" w:eastAsia="仿宋_GB2312" w:cs="Times New Roman"/>
          <w:color w:val="000000" w:themeColor="text1"/>
          <w:spacing w:val="-20"/>
          <w:sz w:val="32"/>
          <w:szCs w:val="32"/>
          <w14:textFill>
            <w14:solidFill>
              <w14:schemeClr w14:val="tx1"/>
            </w14:solidFill>
          </w14:textFill>
        </w:rPr>
        <w:t>2.铷提取工艺及装置研究；</w:t>
      </w:r>
    </w:p>
    <w:p>
      <w:pPr>
        <w:spacing w:line="360" w:lineRule="auto"/>
        <w:ind w:firstLine="560" w:firstLineChars="200"/>
        <w:rPr>
          <w:rFonts w:ascii="仿宋_GB2312" w:hAnsi="宋体" w:eastAsia="仿宋_GB2312" w:cs="Times New Roman"/>
          <w:color w:val="000000" w:themeColor="text1"/>
          <w:spacing w:val="-20"/>
          <w:sz w:val="32"/>
          <w:szCs w:val="32"/>
          <w14:textFill>
            <w14:solidFill>
              <w14:schemeClr w14:val="tx1"/>
            </w14:solidFill>
          </w14:textFill>
        </w:rPr>
      </w:pPr>
      <w:r>
        <w:rPr>
          <w:rFonts w:hint="eastAsia" w:ascii="仿宋_GB2312" w:hAnsi="宋体" w:eastAsia="仿宋_GB2312" w:cs="Times New Roman"/>
          <w:color w:val="000000" w:themeColor="text1"/>
          <w:spacing w:val="-20"/>
          <w:sz w:val="32"/>
          <w:szCs w:val="32"/>
          <w14:textFill>
            <w14:solidFill>
              <w14:schemeClr w14:val="tx1"/>
            </w14:solidFill>
          </w14:textFill>
        </w:rPr>
        <w:t>3.提铷小试或中试装置研究及建设。</w:t>
      </w:r>
    </w:p>
    <w:p>
      <w:pPr>
        <w:spacing w:line="360" w:lineRule="auto"/>
        <w:ind w:firstLine="643" w:firstLineChars="200"/>
        <w:rPr>
          <w:rFonts w:ascii="仿宋_GB2312" w:hAnsi="楷体" w:eastAsia="仿宋_GB2312" w:cs="Times New Roman"/>
          <w:b/>
          <w:color w:val="000000" w:themeColor="text1"/>
          <w:sz w:val="32"/>
          <w:szCs w:val="32"/>
          <w14:textFill>
            <w14:solidFill>
              <w14:schemeClr w14:val="tx1"/>
            </w14:solidFill>
          </w14:textFill>
        </w:rPr>
      </w:pPr>
      <w:r>
        <w:rPr>
          <w:rFonts w:hint="eastAsia" w:ascii="仿宋_GB2312" w:hAnsi="楷体" w:eastAsia="仿宋_GB2312" w:cs="Times New Roman"/>
          <w:b/>
          <w:color w:val="000000" w:themeColor="text1"/>
          <w:sz w:val="32"/>
          <w:szCs w:val="32"/>
          <w14:textFill>
            <w14:solidFill>
              <w14:schemeClr w14:val="tx1"/>
            </w14:solidFill>
          </w14:textFill>
        </w:rPr>
        <w:t>（二）预期目标</w:t>
      </w:r>
    </w:p>
    <w:p>
      <w:pPr>
        <w:spacing w:line="360" w:lineRule="auto"/>
        <w:ind w:firstLine="560" w:firstLineChars="200"/>
        <w:rPr>
          <w:rFonts w:ascii="仿宋_GB2312" w:hAnsi="宋体" w:eastAsia="仿宋_GB2312" w:cs="Times New Roman"/>
          <w:color w:val="000000" w:themeColor="text1"/>
          <w:spacing w:val="-20"/>
          <w:sz w:val="32"/>
          <w:szCs w:val="32"/>
          <w14:textFill>
            <w14:solidFill>
              <w14:schemeClr w14:val="tx1"/>
            </w14:solidFill>
          </w14:textFill>
        </w:rPr>
      </w:pPr>
      <w:r>
        <w:rPr>
          <w:rFonts w:hint="eastAsia" w:ascii="仿宋_GB2312" w:hAnsi="宋体" w:eastAsia="仿宋_GB2312" w:cs="Times New Roman"/>
          <w:color w:val="000000" w:themeColor="text1"/>
          <w:spacing w:val="-20"/>
          <w:sz w:val="32"/>
          <w:szCs w:val="32"/>
          <w14:textFill>
            <w14:solidFill>
              <w14:schemeClr w14:val="tx1"/>
            </w14:solidFill>
          </w14:textFill>
        </w:rPr>
        <w:t>1.掌握察尔汗盐湖铷资源储量，赋存状态、富集规律；</w:t>
      </w:r>
    </w:p>
    <w:p>
      <w:pPr>
        <w:spacing w:line="360" w:lineRule="auto"/>
        <w:ind w:firstLine="560" w:firstLineChars="200"/>
        <w:rPr>
          <w:rFonts w:ascii="仿宋_GB2312" w:hAnsi="宋体" w:eastAsia="仿宋_GB2312" w:cs="Times New Roman"/>
          <w:color w:val="000000" w:themeColor="text1"/>
          <w:spacing w:val="-20"/>
          <w:sz w:val="32"/>
          <w:szCs w:val="32"/>
          <w14:textFill>
            <w14:solidFill>
              <w14:schemeClr w14:val="tx1"/>
            </w14:solidFill>
          </w14:textFill>
        </w:rPr>
      </w:pPr>
      <w:r>
        <w:rPr>
          <w:rFonts w:hint="eastAsia" w:ascii="仿宋_GB2312" w:hAnsi="宋体" w:eastAsia="仿宋_GB2312" w:cs="Times New Roman"/>
          <w:color w:val="000000" w:themeColor="text1"/>
          <w:spacing w:val="-20"/>
          <w:sz w:val="32"/>
          <w:szCs w:val="32"/>
          <w14:textFill>
            <w14:solidFill>
              <w14:schemeClr w14:val="tx1"/>
            </w14:solidFill>
          </w14:textFill>
        </w:rPr>
        <w:t>2.掌握提铷全过程及影响因子，开发一种盐湖卤水提铷工艺技术；</w:t>
      </w:r>
    </w:p>
    <w:p>
      <w:pPr>
        <w:spacing w:line="360" w:lineRule="auto"/>
        <w:ind w:firstLine="560" w:firstLineChars="200"/>
        <w:rPr>
          <w:rFonts w:ascii="仿宋_GB2312" w:hAnsi="宋体" w:eastAsia="仿宋_GB2312" w:cs="Times New Roman"/>
          <w:color w:val="000000" w:themeColor="text1"/>
          <w:spacing w:val="-20"/>
          <w:sz w:val="32"/>
          <w:szCs w:val="32"/>
          <w14:textFill>
            <w14:solidFill>
              <w14:schemeClr w14:val="tx1"/>
            </w14:solidFill>
          </w14:textFill>
        </w:rPr>
      </w:pPr>
      <w:r>
        <w:rPr>
          <w:rFonts w:hint="eastAsia" w:ascii="仿宋_GB2312" w:hAnsi="宋体" w:eastAsia="仿宋_GB2312" w:cs="Times New Roman"/>
          <w:color w:val="000000" w:themeColor="text1"/>
          <w:spacing w:val="-20"/>
          <w:sz w:val="32"/>
          <w:szCs w:val="32"/>
          <w14:textFill>
            <w14:solidFill>
              <w14:schemeClr w14:val="tx1"/>
            </w14:solidFill>
          </w14:textFill>
        </w:rPr>
        <w:t>3.建成盐湖提铷中试装置。</w:t>
      </w:r>
    </w:p>
    <w:p>
      <w:pPr>
        <w:spacing w:line="360" w:lineRule="auto"/>
        <w:ind w:firstLine="643" w:firstLineChars="200"/>
        <w:rPr>
          <w:rFonts w:ascii="仿宋_GB2312" w:hAnsi="楷体" w:eastAsia="仿宋_GB2312" w:cs="Times New Roman"/>
          <w:b/>
          <w:color w:val="000000" w:themeColor="text1"/>
          <w:sz w:val="32"/>
          <w:szCs w:val="32"/>
          <w14:textFill>
            <w14:solidFill>
              <w14:schemeClr w14:val="tx1"/>
            </w14:solidFill>
          </w14:textFill>
        </w:rPr>
      </w:pPr>
      <w:r>
        <w:rPr>
          <w:rFonts w:hint="eastAsia" w:ascii="仿宋_GB2312" w:hAnsi="楷体" w:eastAsia="仿宋_GB2312" w:cs="Times New Roman"/>
          <w:b/>
          <w:color w:val="000000" w:themeColor="text1"/>
          <w:sz w:val="32"/>
          <w:szCs w:val="32"/>
          <w14:textFill>
            <w14:solidFill>
              <w14:schemeClr w14:val="tx1"/>
            </w14:solidFill>
          </w14:textFill>
        </w:rPr>
        <w:t>三、项目研究合作模式</w:t>
      </w:r>
    </w:p>
    <w:p>
      <w:pPr>
        <w:spacing w:line="360" w:lineRule="auto"/>
        <w:ind w:firstLine="560" w:firstLineChars="200"/>
        <w:rPr>
          <w:rFonts w:ascii="仿宋_GB2312" w:hAnsi="仿宋" w:eastAsia="仿宋_GB2312" w:cs="Times New Roman"/>
          <w:color w:val="000000" w:themeColor="text1"/>
          <w:spacing w:val="-20"/>
          <w:sz w:val="32"/>
          <w:szCs w:val="32"/>
          <w14:textFill>
            <w14:solidFill>
              <w14:schemeClr w14:val="tx1"/>
            </w14:solidFill>
          </w14:textFill>
        </w:rPr>
      </w:pPr>
      <w:r>
        <w:rPr>
          <w:rFonts w:hint="eastAsia" w:ascii="仿宋_GB2312" w:hAnsi="仿宋" w:eastAsia="仿宋_GB2312" w:cs="Times New Roman"/>
          <w:color w:val="000000" w:themeColor="text1"/>
          <w:spacing w:val="-20"/>
          <w:sz w:val="32"/>
          <w:szCs w:val="32"/>
          <w14:textFill>
            <w14:solidFill>
              <w14:schemeClr w14:val="tx1"/>
            </w14:solidFill>
          </w14:textFill>
        </w:rPr>
        <w:t>本项目将由青海盐湖工业股份有限公司作为投资主体，通过“揭榜挂帅”的方式引进科研院所、高校、企业等进行联合攻关，或技术引进。</w:t>
      </w:r>
    </w:p>
    <w:p>
      <w:pPr>
        <w:rPr>
          <w:rFonts w:ascii="仿宋_GB2312" w:eastAsia="仿宋_GB2312"/>
          <w:color w:val="000000" w:themeColor="text1"/>
          <w:sz w:val="32"/>
          <w:szCs w:val="32"/>
          <w14:textFill>
            <w14:solidFill>
              <w14:schemeClr w14:val="tx1"/>
            </w14:solidFill>
          </w14:textFill>
        </w:rPr>
      </w:pPr>
      <w:r>
        <w:rPr>
          <w:rFonts w:ascii="仿宋_GB2312" w:eastAsia="仿宋_GB2312"/>
          <w:color w:val="000000" w:themeColor="text1"/>
          <w:sz w:val="32"/>
          <w:szCs w:val="32"/>
          <w14:textFill>
            <w14:solidFill>
              <w14:schemeClr w14:val="tx1"/>
            </w14:solidFill>
          </w14:textFill>
        </w:rPr>
        <w:br w:type="page"/>
      </w:r>
    </w:p>
    <w:p>
      <w:pPr>
        <w:spacing w:line="360" w:lineRule="auto"/>
        <w:jc w:val="center"/>
        <w:rPr>
          <w:rFonts w:ascii="仿宋_GB2312" w:hAnsi="华文中宋" w:eastAsia="仿宋_GB2312"/>
          <w:b/>
          <w:color w:val="000000" w:themeColor="text1"/>
          <w:sz w:val="32"/>
          <w:szCs w:val="32"/>
          <w14:textFill>
            <w14:solidFill>
              <w14:schemeClr w14:val="tx1"/>
            </w14:solidFill>
          </w14:textFill>
        </w:rPr>
      </w:pPr>
      <w:r>
        <w:rPr>
          <w:rFonts w:hint="eastAsia" w:ascii="仿宋_GB2312" w:hAnsi="华文中宋" w:eastAsia="仿宋_GB2312"/>
          <w:b/>
          <w:color w:val="000000" w:themeColor="text1"/>
          <w:sz w:val="32"/>
          <w:szCs w:val="32"/>
          <w14:textFill>
            <w14:solidFill>
              <w14:schemeClr w14:val="tx1"/>
            </w14:solidFill>
          </w14:textFill>
        </w:rPr>
        <w:t>项目10  盐湖卤水提铯技术</w:t>
      </w:r>
    </w:p>
    <w:p>
      <w:pPr>
        <w:spacing w:line="360" w:lineRule="auto"/>
        <w:ind w:firstLine="643" w:firstLineChars="200"/>
        <w:rPr>
          <w:rFonts w:ascii="仿宋_GB2312" w:hAnsi="楷体" w:eastAsia="仿宋_GB2312" w:cs="Times New Roman"/>
          <w:b/>
          <w:color w:val="000000" w:themeColor="text1"/>
          <w:sz w:val="32"/>
          <w:szCs w:val="32"/>
          <w14:textFill>
            <w14:solidFill>
              <w14:schemeClr w14:val="tx1"/>
            </w14:solidFill>
          </w14:textFill>
        </w:rPr>
      </w:pPr>
      <w:r>
        <w:rPr>
          <w:rFonts w:hint="eastAsia" w:ascii="仿宋_GB2312" w:hAnsi="楷体" w:eastAsia="仿宋_GB2312" w:cs="Times New Roman"/>
          <w:b/>
          <w:color w:val="000000" w:themeColor="text1"/>
          <w:sz w:val="32"/>
          <w:szCs w:val="32"/>
          <w14:textFill>
            <w14:solidFill>
              <w14:schemeClr w14:val="tx1"/>
            </w14:solidFill>
          </w14:textFill>
        </w:rPr>
        <w:t>一、项目立项背景</w:t>
      </w:r>
    </w:p>
    <w:p>
      <w:pPr>
        <w:pStyle w:val="10"/>
        <w:spacing w:line="360" w:lineRule="auto"/>
        <w:ind w:firstLine="640"/>
        <w:rPr>
          <w:rFonts w:ascii="仿宋_GB2312" w:hAnsi="宋体" w:eastAsia="仿宋_GB2312" w:cs="Times New Roman"/>
          <w:color w:val="000000" w:themeColor="text1"/>
          <w:spacing w:val="-20"/>
          <w:sz w:val="32"/>
          <w:szCs w:val="32"/>
          <w14:textFill>
            <w14:solidFill>
              <w14:schemeClr w14:val="tx1"/>
            </w14:solidFill>
          </w14:textFill>
        </w:rPr>
      </w:pPr>
      <w:r>
        <w:rPr>
          <w:rFonts w:hint="eastAsia" w:ascii="仿宋_GB2312" w:hAnsi="宋体" w:eastAsia="仿宋_GB2312" w:cs="Times New Roman"/>
          <w:color w:val="000000" w:themeColor="text1"/>
          <w:spacing w:val="-20"/>
          <w:sz w:val="32"/>
          <w:szCs w:val="32"/>
          <w14:textFill>
            <w14:solidFill>
              <w14:schemeClr w14:val="tx1"/>
            </w14:solidFill>
          </w14:textFill>
        </w:rPr>
        <w:t>盐湖卤水中铯以离子形式存在，因而其提取工艺相对简单，成本低，能耗少。我国青海省盐湖卤水中铯的储量很大，但含量低（平均含量为0.034mg/L），且卤水中存在的铯常与钾、钠、锂、钙、镁等元素共生。这些共生元素的物理、化学性质都与铯十分接近，因此给分离提取带来了一定困难。</w:t>
      </w:r>
    </w:p>
    <w:p>
      <w:pPr>
        <w:spacing w:line="360" w:lineRule="auto"/>
        <w:ind w:firstLine="643" w:firstLineChars="200"/>
        <w:rPr>
          <w:rFonts w:ascii="仿宋_GB2312" w:hAnsi="楷体" w:eastAsia="仿宋_GB2312" w:cs="Times New Roman"/>
          <w:b/>
          <w:color w:val="000000" w:themeColor="text1"/>
          <w:sz w:val="32"/>
          <w:szCs w:val="32"/>
          <w14:textFill>
            <w14:solidFill>
              <w14:schemeClr w14:val="tx1"/>
            </w14:solidFill>
          </w14:textFill>
        </w:rPr>
      </w:pPr>
      <w:r>
        <w:rPr>
          <w:rFonts w:hint="eastAsia" w:ascii="仿宋_GB2312" w:hAnsi="宋体" w:eastAsia="仿宋_GB2312" w:cs="Times New Roman"/>
          <w:b/>
          <w:color w:val="000000" w:themeColor="text1"/>
          <w:sz w:val="32"/>
          <w:szCs w:val="32"/>
          <w14:textFill>
            <w14:solidFill>
              <w14:schemeClr w14:val="tx1"/>
            </w14:solidFill>
          </w14:textFill>
        </w:rPr>
        <w:t>二、</w:t>
      </w:r>
      <w:r>
        <w:rPr>
          <w:rFonts w:hint="eastAsia" w:ascii="仿宋_GB2312" w:hAnsi="楷体" w:eastAsia="仿宋_GB2312" w:cs="Times New Roman"/>
          <w:b/>
          <w:color w:val="000000" w:themeColor="text1"/>
          <w:sz w:val="32"/>
          <w:szCs w:val="32"/>
          <w14:textFill>
            <w14:solidFill>
              <w14:schemeClr w14:val="tx1"/>
            </w14:solidFill>
          </w14:textFill>
        </w:rPr>
        <w:t>项目研究内容、预期目标</w:t>
      </w:r>
    </w:p>
    <w:p>
      <w:pPr>
        <w:spacing w:line="360" w:lineRule="auto"/>
        <w:ind w:firstLine="643" w:firstLineChars="200"/>
        <w:rPr>
          <w:rFonts w:ascii="仿宋_GB2312" w:hAnsi="楷体" w:eastAsia="仿宋_GB2312" w:cs="Times New Roman"/>
          <w:b/>
          <w:color w:val="000000" w:themeColor="text1"/>
          <w:sz w:val="32"/>
          <w:szCs w:val="32"/>
          <w14:textFill>
            <w14:solidFill>
              <w14:schemeClr w14:val="tx1"/>
            </w14:solidFill>
          </w14:textFill>
        </w:rPr>
      </w:pPr>
      <w:r>
        <w:rPr>
          <w:rFonts w:hint="eastAsia" w:ascii="仿宋_GB2312" w:hAnsi="楷体" w:eastAsia="仿宋_GB2312" w:cs="Times New Roman"/>
          <w:b/>
          <w:color w:val="000000" w:themeColor="text1"/>
          <w:sz w:val="32"/>
          <w:szCs w:val="32"/>
          <w14:textFill>
            <w14:solidFill>
              <w14:schemeClr w14:val="tx1"/>
            </w14:solidFill>
          </w14:textFill>
        </w:rPr>
        <w:t>（一）研究内容</w:t>
      </w:r>
    </w:p>
    <w:p>
      <w:pPr>
        <w:spacing w:line="360" w:lineRule="auto"/>
        <w:ind w:firstLine="548" w:firstLineChars="200"/>
        <w:rPr>
          <w:rFonts w:ascii="仿宋_GB2312" w:hAnsi="宋体" w:eastAsia="仿宋_GB2312" w:cs="Times New Roman"/>
          <w:color w:val="000000" w:themeColor="text1"/>
          <w:spacing w:val="-23"/>
          <w:sz w:val="32"/>
          <w:szCs w:val="32"/>
          <w14:textFill>
            <w14:solidFill>
              <w14:schemeClr w14:val="tx1"/>
            </w14:solidFill>
          </w14:textFill>
        </w:rPr>
      </w:pPr>
      <w:r>
        <w:rPr>
          <w:rFonts w:hint="eastAsia" w:ascii="仿宋_GB2312" w:hAnsi="宋体" w:eastAsia="仿宋_GB2312" w:cs="Times New Roman"/>
          <w:color w:val="000000" w:themeColor="text1"/>
          <w:spacing w:val="-23"/>
          <w:sz w:val="32"/>
          <w:szCs w:val="32"/>
          <w14:textFill>
            <w14:solidFill>
              <w14:schemeClr w14:val="tx1"/>
            </w14:solidFill>
          </w14:textFill>
        </w:rPr>
        <w:t>1.盐湖铯资源量勘测；铯在盐湖卤水，从原卤到老卤（包括提锂后老卤）的富集规律研究；</w:t>
      </w:r>
    </w:p>
    <w:p>
      <w:pPr>
        <w:spacing w:line="360" w:lineRule="auto"/>
        <w:ind w:firstLine="548" w:firstLineChars="200"/>
        <w:rPr>
          <w:rFonts w:ascii="仿宋_GB2312" w:hAnsi="宋体" w:eastAsia="仿宋_GB2312" w:cs="Times New Roman"/>
          <w:color w:val="000000" w:themeColor="text1"/>
          <w:spacing w:val="-23"/>
          <w:sz w:val="32"/>
          <w:szCs w:val="32"/>
          <w14:textFill>
            <w14:solidFill>
              <w14:schemeClr w14:val="tx1"/>
            </w14:solidFill>
          </w14:textFill>
        </w:rPr>
      </w:pPr>
      <w:r>
        <w:rPr>
          <w:rFonts w:hint="eastAsia" w:ascii="仿宋_GB2312" w:hAnsi="宋体" w:eastAsia="仿宋_GB2312" w:cs="Times New Roman"/>
          <w:color w:val="000000" w:themeColor="text1"/>
          <w:spacing w:val="-23"/>
          <w:sz w:val="32"/>
          <w:szCs w:val="32"/>
          <w14:textFill>
            <w14:solidFill>
              <w14:schemeClr w14:val="tx1"/>
            </w14:solidFill>
          </w14:textFill>
        </w:rPr>
        <w:t>2.铯提取专用吸附剂或其他提取工艺关键技术研究；</w:t>
      </w:r>
    </w:p>
    <w:p>
      <w:pPr>
        <w:spacing w:line="360" w:lineRule="auto"/>
        <w:ind w:firstLine="548" w:firstLineChars="200"/>
        <w:rPr>
          <w:rFonts w:ascii="仿宋_GB2312" w:hAnsi="宋体" w:eastAsia="仿宋_GB2312" w:cs="Times New Roman"/>
          <w:color w:val="000000" w:themeColor="text1"/>
          <w:spacing w:val="-23"/>
          <w:sz w:val="32"/>
          <w:szCs w:val="32"/>
          <w14:textFill>
            <w14:solidFill>
              <w14:schemeClr w14:val="tx1"/>
            </w14:solidFill>
          </w14:textFill>
        </w:rPr>
      </w:pPr>
      <w:r>
        <w:rPr>
          <w:rFonts w:hint="eastAsia" w:ascii="仿宋_GB2312" w:hAnsi="宋体" w:eastAsia="仿宋_GB2312" w:cs="Times New Roman"/>
          <w:color w:val="000000" w:themeColor="text1"/>
          <w:spacing w:val="-23"/>
          <w:sz w:val="32"/>
          <w:szCs w:val="32"/>
          <w14:textFill>
            <w14:solidFill>
              <w14:schemeClr w14:val="tx1"/>
            </w14:solidFill>
          </w14:textFill>
        </w:rPr>
        <w:t>3.卤水提铯中试装置研究。</w:t>
      </w:r>
    </w:p>
    <w:p>
      <w:pPr>
        <w:spacing w:line="360" w:lineRule="auto"/>
        <w:ind w:firstLine="643" w:firstLineChars="200"/>
        <w:rPr>
          <w:rFonts w:ascii="仿宋_GB2312" w:hAnsi="楷体" w:eastAsia="仿宋_GB2312" w:cs="Times New Roman"/>
          <w:b/>
          <w:color w:val="000000" w:themeColor="text1"/>
          <w:sz w:val="32"/>
          <w:szCs w:val="32"/>
          <w14:textFill>
            <w14:solidFill>
              <w14:schemeClr w14:val="tx1"/>
            </w14:solidFill>
          </w14:textFill>
        </w:rPr>
      </w:pPr>
      <w:r>
        <w:rPr>
          <w:rFonts w:hint="eastAsia" w:ascii="仿宋_GB2312" w:hAnsi="楷体" w:eastAsia="仿宋_GB2312" w:cs="Times New Roman"/>
          <w:b/>
          <w:color w:val="000000" w:themeColor="text1"/>
          <w:sz w:val="32"/>
          <w:szCs w:val="32"/>
          <w14:textFill>
            <w14:solidFill>
              <w14:schemeClr w14:val="tx1"/>
            </w14:solidFill>
          </w14:textFill>
        </w:rPr>
        <w:t>（二）预期目标</w:t>
      </w:r>
    </w:p>
    <w:p>
      <w:pPr>
        <w:spacing w:line="360" w:lineRule="auto"/>
        <w:ind w:firstLine="560" w:firstLineChars="200"/>
        <w:rPr>
          <w:rFonts w:ascii="仿宋_GB2312" w:hAnsi="宋体" w:eastAsia="仿宋_GB2312" w:cs="Times New Roman"/>
          <w:color w:val="000000" w:themeColor="text1"/>
          <w:spacing w:val="-20"/>
          <w:sz w:val="32"/>
          <w:szCs w:val="32"/>
          <w14:textFill>
            <w14:solidFill>
              <w14:schemeClr w14:val="tx1"/>
            </w14:solidFill>
          </w14:textFill>
        </w:rPr>
      </w:pPr>
      <w:r>
        <w:rPr>
          <w:rFonts w:hint="eastAsia" w:ascii="仿宋_GB2312" w:hAnsi="宋体" w:eastAsia="仿宋_GB2312" w:cs="Times New Roman"/>
          <w:color w:val="000000" w:themeColor="text1"/>
          <w:spacing w:val="-20"/>
          <w:sz w:val="32"/>
          <w:szCs w:val="32"/>
          <w14:textFill>
            <w14:solidFill>
              <w14:schemeClr w14:val="tx1"/>
            </w14:solidFill>
          </w14:textFill>
        </w:rPr>
        <w:t>1.掌握察尔汗盐湖铯资源储量、赋存状态、富集规律；</w:t>
      </w:r>
    </w:p>
    <w:p>
      <w:pPr>
        <w:spacing w:line="360" w:lineRule="auto"/>
        <w:ind w:firstLine="560" w:firstLineChars="200"/>
        <w:rPr>
          <w:rFonts w:ascii="仿宋_GB2312" w:hAnsi="宋体" w:eastAsia="仿宋_GB2312" w:cs="Times New Roman"/>
          <w:color w:val="000000" w:themeColor="text1"/>
          <w:spacing w:val="-20"/>
          <w:sz w:val="32"/>
          <w:szCs w:val="32"/>
          <w14:textFill>
            <w14:solidFill>
              <w14:schemeClr w14:val="tx1"/>
            </w14:solidFill>
          </w14:textFill>
        </w:rPr>
      </w:pPr>
      <w:r>
        <w:rPr>
          <w:rFonts w:hint="eastAsia" w:ascii="仿宋_GB2312" w:hAnsi="宋体" w:eastAsia="仿宋_GB2312" w:cs="Times New Roman"/>
          <w:color w:val="000000" w:themeColor="text1"/>
          <w:spacing w:val="-20"/>
          <w:sz w:val="32"/>
          <w:szCs w:val="32"/>
          <w14:textFill>
            <w14:solidFill>
              <w14:schemeClr w14:val="tx1"/>
            </w14:solidFill>
          </w14:textFill>
        </w:rPr>
        <w:t>2.开发一种盐湖卤水提铯工艺技术，掌握提铯过程中的关键影响因子；</w:t>
      </w:r>
    </w:p>
    <w:p>
      <w:pPr>
        <w:spacing w:line="360" w:lineRule="auto"/>
        <w:ind w:firstLine="560" w:firstLineChars="200"/>
        <w:rPr>
          <w:rFonts w:ascii="仿宋_GB2312" w:hAnsi="宋体" w:eastAsia="仿宋_GB2312" w:cs="Times New Roman"/>
          <w:color w:val="000000" w:themeColor="text1"/>
          <w:spacing w:val="-20"/>
          <w:sz w:val="32"/>
          <w:szCs w:val="32"/>
          <w14:textFill>
            <w14:solidFill>
              <w14:schemeClr w14:val="tx1"/>
            </w14:solidFill>
          </w14:textFill>
        </w:rPr>
      </w:pPr>
      <w:r>
        <w:rPr>
          <w:rFonts w:hint="eastAsia" w:ascii="仿宋_GB2312" w:hAnsi="宋体" w:eastAsia="仿宋_GB2312" w:cs="Times New Roman"/>
          <w:color w:val="000000" w:themeColor="text1"/>
          <w:spacing w:val="-20"/>
          <w:sz w:val="32"/>
          <w:szCs w:val="32"/>
          <w14:textFill>
            <w14:solidFill>
              <w14:schemeClr w14:val="tx1"/>
            </w14:solidFill>
          </w14:textFill>
        </w:rPr>
        <w:t>3.建成盐湖卤水提铯小试或中试装置。</w:t>
      </w:r>
    </w:p>
    <w:p>
      <w:pPr>
        <w:spacing w:line="360" w:lineRule="auto"/>
        <w:ind w:firstLine="643" w:firstLineChars="200"/>
        <w:rPr>
          <w:rFonts w:ascii="仿宋_GB2312" w:hAnsi="楷体" w:eastAsia="仿宋_GB2312" w:cs="Times New Roman"/>
          <w:b/>
          <w:color w:val="000000" w:themeColor="text1"/>
          <w:sz w:val="32"/>
          <w:szCs w:val="32"/>
          <w14:textFill>
            <w14:solidFill>
              <w14:schemeClr w14:val="tx1"/>
            </w14:solidFill>
          </w14:textFill>
        </w:rPr>
      </w:pPr>
      <w:r>
        <w:rPr>
          <w:rFonts w:hint="eastAsia" w:ascii="仿宋_GB2312" w:hAnsi="楷体" w:eastAsia="仿宋_GB2312" w:cs="Times New Roman"/>
          <w:b/>
          <w:color w:val="000000" w:themeColor="text1"/>
          <w:sz w:val="32"/>
          <w:szCs w:val="32"/>
          <w14:textFill>
            <w14:solidFill>
              <w14:schemeClr w14:val="tx1"/>
            </w14:solidFill>
          </w14:textFill>
        </w:rPr>
        <w:t>三、项目研究合作模式</w:t>
      </w:r>
    </w:p>
    <w:p>
      <w:pPr>
        <w:spacing w:line="360" w:lineRule="auto"/>
        <w:ind w:firstLine="560" w:firstLineChars="200"/>
        <w:rPr>
          <w:rFonts w:hint="eastAsia" w:ascii="仿宋_GB2312" w:hAnsi="仿宋" w:eastAsia="仿宋_GB2312" w:cs="Times New Roman"/>
          <w:color w:val="000000" w:themeColor="text1"/>
          <w:spacing w:val="-20"/>
          <w:sz w:val="32"/>
          <w:szCs w:val="32"/>
          <w14:textFill>
            <w14:solidFill>
              <w14:schemeClr w14:val="tx1"/>
            </w14:solidFill>
          </w14:textFill>
        </w:rPr>
      </w:pPr>
      <w:r>
        <w:rPr>
          <w:rFonts w:hint="eastAsia" w:ascii="仿宋_GB2312" w:hAnsi="仿宋" w:eastAsia="仿宋_GB2312" w:cs="Times New Roman"/>
          <w:color w:val="000000" w:themeColor="text1"/>
          <w:spacing w:val="-20"/>
          <w:sz w:val="32"/>
          <w:szCs w:val="32"/>
          <w14:textFill>
            <w14:solidFill>
              <w14:schemeClr w14:val="tx1"/>
            </w14:solidFill>
          </w14:textFill>
        </w:rPr>
        <w:t>本项目将由青海盐湖工业股份有限公司作为投资主体，通过“揭榜挂帅”的方式引进科研院所、高校、企业等进行联合攻关，或技术引进。</w:t>
      </w:r>
    </w:p>
    <w:p>
      <w:pPr>
        <w:rPr>
          <w:rFonts w:ascii="仿宋_GB2312" w:eastAsia="仿宋_GB2312"/>
          <w:color w:val="000000" w:themeColor="text1"/>
          <w:sz w:val="32"/>
          <w:szCs w:val="32"/>
          <w14:textFill>
            <w14:solidFill>
              <w14:schemeClr w14:val="tx1"/>
            </w14:solidFill>
          </w14:textFill>
        </w:rPr>
      </w:pPr>
      <w:r>
        <w:rPr>
          <w:rFonts w:ascii="仿宋_GB2312" w:eastAsia="仿宋_GB2312"/>
          <w:color w:val="000000" w:themeColor="text1"/>
          <w:sz w:val="32"/>
          <w:szCs w:val="32"/>
          <w14:textFill>
            <w14:solidFill>
              <w14:schemeClr w14:val="tx1"/>
            </w14:solidFill>
          </w14:textFill>
        </w:rPr>
        <w:br w:type="page"/>
      </w:r>
    </w:p>
    <w:p>
      <w:pPr>
        <w:spacing w:line="360" w:lineRule="auto"/>
        <w:jc w:val="center"/>
        <w:rPr>
          <w:rFonts w:ascii="仿宋_GB2312" w:hAnsi="华文中宋" w:eastAsia="仿宋_GB2312"/>
          <w:b/>
          <w:color w:val="000000" w:themeColor="text1"/>
          <w:sz w:val="32"/>
          <w:szCs w:val="32"/>
          <w14:textFill>
            <w14:solidFill>
              <w14:schemeClr w14:val="tx1"/>
            </w14:solidFill>
          </w14:textFill>
        </w:rPr>
      </w:pPr>
      <w:r>
        <w:rPr>
          <w:rFonts w:hint="eastAsia" w:ascii="仿宋_GB2312" w:hAnsi="华文中宋" w:eastAsia="仿宋_GB2312"/>
          <w:b/>
          <w:color w:val="000000" w:themeColor="text1"/>
          <w:sz w:val="32"/>
          <w:szCs w:val="32"/>
          <w14:textFill>
            <w14:solidFill>
              <w14:schemeClr w14:val="tx1"/>
            </w14:solidFill>
          </w14:textFill>
        </w:rPr>
        <w:t>项目11  盐湖卤水提溴技术</w:t>
      </w:r>
    </w:p>
    <w:p>
      <w:pPr>
        <w:spacing w:line="360" w:lineRule="auto"/>
        <w:ind w:firstLine="643" w:firstLineChars="200"/>
        <w:rPr>
          <w:rFonts w:ascii="仿宋_GB2312" w:hAnsi="楷体" w:eastAsia="仿宋_GB2312" w:cs="Times New Roman"/>
          <w:b/>
          <w:color w:val="000000" w:themeColor="text1"/>
          <w:sz w:val="32"/>
          <w:szCs w:val="32"/>
          <w14:textFill>
            <w14:solidFill>
              <w14:schemeClr w14:val="tx1"/>
            </w14:solidFill>
          </w14:textFill>
        </w:rPr>
      </w:pPr>
      <w:r>
        <w:rPr>
          <w:rFonts w:hint="eastAsia" w:ascii="仿宋_GB2312" w:hAnsi="楷体" w:eastAsia="仿宋_GB2312" w:cs="Times New Roman"/>
          <w:b/>
          <w:color w:val="000000" w:themeColor="text1"/>
          <w:sz w:val="32"/>
          <w:szCs w:val="32"/>
          <w14:textFill>
            <w14:solidFill>
              <w14:schemeClr w14:val="tx1"/>
            </w14:solidFill>
          </w14:textFill>
        </w:rPr>
        <w:t>一、项目立项背景</w:t>
      </w:r>
    </w:p>
    <w:p>
      <w:pPr>
        <w:pStyle w:val="10"/>
        <w:spacing w:line="360" w:lineRule="auto"/>
        <w:ind w:firstLine="640"/>
        <w:rPr>
          <w:rFonts w:ascii="仿宋_GB2312" w:eastAsia="仿宋_GB2312"/>
          <w:color w:val="000000" w:themeColor="text1"/>
          <w:sz w:val="32"/>
          <w:szCs w:val="32"/>
          <w14:textFill>
            <w14:solidFill>
              <w14:schemeClr w14:val="tx1"/>
            </w14:solidFill>
          </w14:textFill>
        </w:rPr>
      </w:pPr>
      <w:r>
        <w:rPr>
          <w:rFonts w:hint="eastAsia" w:ascii="仿宋_GB2312" w:hAnsi="宋体" w:eastAsia="仿宋_GB2312" w:cs="Times New Roman"/>
          <w:color w:val="000000" w:themeColor="text1"/>
          <w:spacing w:val="-20"/>
          <w:sz w:val="32"/>
          <w:szCs w:val="32"/>
          <w14:textFill>
            <w14:solidFill>
              <w14:schemeClr w14:val="tx1"/>
            </w14:solidFill>
          </w14:textFill>
        </w:rPr>
        <w:t>溴是一种活泼的卤素，其来源主要是地下卤水、盐湖卤水和海水制盐后的苦卤。青海省柴达木盆地拥有大量富含溴的盐湖资源，仅察尔汗盐湖钾镁盐矿床中探明的溴储量就达34.1万吨。柴达木盆地溴储量达120万吨。察尔汗盐湖卤水溴含量在50mg/L左右。溴素是一种重要的基础化工原料，由它衍生出的各种化合物被广泛应用于医药、农药、印染、冶金和军工等行业领域，具有很高的经济价值。</w:t>
      </w:r>
    </w:p>
    <w:p>
      <w:pPr>
        <w:spacing w:line="360" w:lineRule="auto"/>
        <w:ind w:firstLine="643" w:firstLineChars="200"/>
        <w:rPr>
          <w:rFonts w:ascii="仿宋_GB2312" w:hAnsi="楷体" w:eastAsia="仿宋_GB2312" w:cs="Times New Roman"/>
          <w:b/>
          <w:color w:val="000000" w:themeColor="text1"/>
          <w:sz w:val="32"/>
          <w:szCs w:val="32"/>
          <w14:textFill>
            <w14:solidFill>
              <w14:schemeClr w14:val="tx1"/>
            </w14:solidFill>
          </w14:textFill>
        </w:rPr>
      </w:pPr>
      <w:r>
        <w:rPr>
          <w:rFonts w:hint="eastAsia" w:ascii="仿宋_GB2312" w:hAnsi="楷体" w:eastAsia="仿宋_GB2312" w:cs="Times New Roman"/>
          <w:b/>
          <w:color w:val="000000" w:themeColor="text1"/>
          <w:sz w:val="32"/>
          <w:szCs w:val="32"/>
          <w14:textFill>
            <w14:solidFill>
              <w14:schemeClr w14:val="tx1"/>
            </w14:solidFill>
          </w14:textFill>
        </w:rPr>
        <w:t>二、项目研究内容、预期目标</w:t>
      </w:r>
    </w:p>
    <w:p>
      <w:pPr>
        <w:spacing w:line="360" w:lineRule="auto"/>
        <w:ind w:firstLine="643" w:firstLineChars="200"/>
        <w:rPr>
          <w:rFonts w:ascii="仿宋_GB2312" w:hAnsi="楷体" w:eastAsia="仿宋_GB2312" w:cs="Times New Roman"/>
          <w:b/>
          <w:color w:val="000000" w:themeColor="text1"/>
          <w:sz w:val="32"/>
          <w:szCs w:val="32"/>
          <w14:textFill>
            <w14:solidFill>
              <w14:schemeClr w14:val="tx1"/>
            </w14:solidFill>
          </w14:textFill>
        </w:rPr>
      </w:pPr>
      <w:r>
        <w:rPr>
          <w:rFonts w:hint="eastAsia" w:ascii="仿宋_GB2312" w:hAnsi="楷体" w:eastAsia="仿宋_GB2312" w:cs="Times New Roman"/>
          <w:b/>
          <w:color w:val="000000" w:themeColor="text1"/>
          <w:sz w:val="32"/>
          <w:szCs w:val="32"/>
          <w14:textFill>
            <w14:solidFill>
              <w14:schemeClr w14:val="tx1"/>
            </w14:solidFill>
          </w14:textFill>
        </w:rPr>
        <w:t>（一）研究内容</w:t>
      </w:r>
    </w:p>
    <w:p>
      <w:pPr>
        <w:spacing w:line="360" w:lineRule="auto"/>
        <w:ind w:firstLine="560" w:firstLineChars="200"/>
        <w:rPr>
          <w:rFonts w:ascii="仿宋_GB2312" w:hAnsi="宋体" w:eastAsia="仿宋_GB2312" w:cs="Times New Roman"/>
          <w:color w:val="000000" w:themeColor="text1"/>
          <w:spacing w:val="-20"/>
          <w:sz w:val="32"/>
          <w:szCs w:val="32"/>
          <w14:textFill>
            <w14:solidFill>
              <w14:schemeClr w14:val="tx1"/>
            </w14:solidFill>
          </w14:textFill>
        </w:rPr>
      </w:pPr>
      <w:r>
        <w:rPr>
          <w:rFonts w:hint="eastAsia" w:ascii="仿宋_GB2312" w:hAnsi="宋体" w:eastAsia="仿宋_GB2312" w:cs="Times New Roman"/>
          <w:color w:val="000000" w:themeColor="text1"/>
          <w:spacing w:val="-20"/>
          <w:sz w:val="32"/>
          <w:szCs w:val="32"/>
          <w14:textFill>
            <w14:solidFill>
              <w14:schemeClr w14:val="tx1"/>
            </w14:solidFill>
          </w14:textFill>
        </w:rPr>
        <w:t>1.察尔汗盐湖中溴资源赋存状态、富集规律；</w:t>
      </w:r>
    </w:p>
    <w:p>
      <w:pPr>
        <w:spacing w:line="360" w:lineRule="auto"/>
        <w:ind w:firstLine="560" w:firstLineChars="200"/>
        <w:rPr>
          <w:rFonts w:ascii="仿宋_GB2312" w:hAnsi="宋体" w:eastAsia="仿宋_GB2312" w:cs="Times New Roman"/>
          <w:color w:val="000000" w:themeColor="text1"/>
          <w:spacing w:val="-20"/>
          <w:sz w:val="32"/>
          <w:szCs w:val="32"/>
          <w14:textFill>
            <w14:solidFill>
              <w14:schemeClr w14:val="tx1"/>
            </w14:solidFill>
          </w14:textFill>
        </w:rPr>
      </w:pPr>
      <w:r>
        <w:rPr>
          <w:rFonts w:hint="eastAsia" w:ascii="仿宋_GB2312" w:hAnsi="宋体" w:eastAsia="仿宋_GB2312" w:cs="Times New Roman"/>
          <w:color w:val="000000" w:themeColor="text1"/>
          <w:spacing w:val="-20"/>
          <w:sz w:val="32"/>
          <w:szCs w:val="32"/>
          <w14:textFill>
            <w14:solidFill>
              <w14:schemeClr w14:val="tx1"/>
            </w14:solidFill>
          </w14:textFill>
        </w:rPr>
        <w:t>2.针对察尔汗盐湖卤水低含溴量的特点，开展吸附提溴、溶剂萃取提溴等相关新技术研究，开展吸附、萃取提溴等技术装备研究；</w:t>
      </w:r>
    </w:p>
    <w:p>
      <w:pPr>
        <w:spacing w:line="360" w:lineRule="auto"/>
        <w:ind w:firstLine="560" w:firstLineChars="200"/>
        <w:rPr>
          <w:rFonts w:ascii="仿宋_GB2312" w:hAnsi="宋体" w:eastAsia="仿宋_GB2312" w:cs="Times New Roman"/>
          <w:color w:val="000000" w:themeColor="text1"/>
          <w:spacing w:val="-20"/>
          <w:sz w:val="32"/>
          <w:szCs w:val="32"/>
          <w14:textFill>
            <w14:solidFill>
              <w14:schemeClr w14:val="tx1"/>
            </w14:solidFill>
          </w14:textFill>
        </w:rPr>
      </w:pPr>
      <w:r>
        <w:rPr>
          <w:rFonts w:hint="eastAsia" w:ascii="仿宋_GB2312" w:hAnsi="宋体" w:eastAsia="仿宋_GB2312" w:cs="Times New Roman"/>
          <w:color w:val="000000" w:themeColor="text1"/>
          <w:spacing w:val="-20"/>
          <w:sz w:val="32"/>
          <w:szCs w:val="32"/>
          <w14:textFill>
            <w14:solidFill>
              <w14:schemeClr w14:val="tx1"/>
            </w14:solidFill>
          </w14:textFill>
        </w:rPr>
        <w:t>3.高纯溴化物生产工艺研究；</w:t>
      </w:r>
    </w:p>
    <w:p>
      <w:pPr>
        <w:spacing w:line="360" w:lineRule="auto"/>
        <w:ind w:firstLine="560" w:firstLineChars="200"/>
        <w:rPr>
          <w:rFonts w:ascii="仿宋_GB2312" w:hAnsi="宋体" w:eastAsia="仿宋_GB2312" w:cs="Times New Roman"/>
          <w:color w:val="000000" w:themeColor="text1"/>
          <w:sz w:val="32"/>
          <w:szCs w:val="32"/>
          <w14:textFill>
            <w14:solidFill>
              <w14:schemeClr w14:val="tx1"/>
            </w14:solidFill>
          </w14:textFill>
        </w:rPr>
      </w:pPr>
      <w:r>
        <w:rPr>
          <w:rFonts w:hint="eastAsia" w:ascii="仿宋_GB2312" w:hAnsi="宋体" w:eastAsia="仿宋_GB2312" w:cs="Times New Roman"/>
          <w:color w:val="000000" w:themeColor="text1"/>
          <w:spacing w:val="-20"/>
          <w:sz w:val="32"/>
          <w:szCs w:val="32"/>
          <w14:textFill>
            <w14:solidFill>
              <w14:schemeClr w14:val="tx1"/>
            </w14:solidFill>
          </w14:textFill>
        </w:rPr>
        <w:t>4.建成盐湖卤水提溴模式装置或者中试装置。</w:t>
      </w:r>
    </w:p>
    <w:p>
      <w:pPr>
        <w:spacing w:line="360" w:lineRule="auto"/>
        <w:ind w:firstLine="643" w:firstLineChars="200"/>
        <w:rPr>
          <w:rFonts w:ascii="仿宋_GB2312" w:hAnsi="楷体" w:eastAsia="仿宋_GB2312" w:cs="Times New Roman"/>
          <w:b/>
          <w:color w:val="000000" w:themeColor="text1"/>
          <w:sz w:val="32"/>
          <w:szCs w:val="32"/>
          <w14:textFill>
            <w14:solidFill>
              <w14:schemeClr w14:val="tx1"/>
            </w14:solidFill>
          </w14:textFill>
        </w:rPr>
      </w:pPr>
      <w:r>
        <w:rPr>
          <w:rFonts w:hint="eastAsia" w:ascii="仿宋_GB2312" w:hAnsi="楷体" w:eastAsia="仿宋_GB2312" w:cs="Times New Roman"/>
          <w:b/>
          <w:color w:val="000000" w:themeColor="text1"/>
          <w:sz w:val="32"/>
          <w:szCs w:val="32"/>
          <w14:textFill>
            <w14:solidFill>
              <w14:schemeClr w14:val="tx1"/>
            </w14:solidFill>
          </w14:textFill>
        </w:rPr>
        <w:t>（二）预期目标</w:t>
      </w:r>
    </w:p>
    <w:p>
      <w:pPr>
        <w:spacing w:line="360" w:lineRule="auto"/>
        <w:ind w:firstLine="560" w:firstLineChars="200"/>
        <w:rPr>
          <w:rFonts w:ascii="仿宋_GB2312" w:hAnsi="宋体" w:eastAsia="仿宋_GB2312" w:cs="Times New Roman"/>
          <w:color w:val="000000" w:themeColor="text1"/>
          <w:spacing w:val="-20"/>
          <w:sz w:val="32"/>
          <w:szCs w:val="32"/>
          <w14:textFill>
            <w14:solidFill>
              <w14:schemeClr w14:val="tx1"/>
            </w14:solidFill>
          </w14:textFill>
        </w:rPr>
      </w:pPr>
      <w:r>
        <w:rPr>
          <w:rFonts w:hint="eastAsia" w:ascii="仿宋_GB2312" w:hAnsi="宋体" w:eastAsia="仿宋_GB2312" w:cs="Times New Roman"/>
          <w:color w:val="000000" w:themeColor="text1"/>
          <w:spacing w:val="-20"/>
          <w:sz w:val="32"/>
          <w:szCs w:val="32"/>
          <w14:textFill>
            <w14:solidFill>
              <w14:schemeClr w14:val="tx1"/>
            </w14:solidFill>
          </w14:textFill>
        </w:rPr>
        <w:t>1.掌握察尔汗盐湖溴资源储量、赋存状态、富集规律；</w:t>
      </w:r>
    </w:p>
    <w:p>
      <w:pPr>
        <w:spacing w:line="360" w:lineRule="auto"/>
        <w:ind w:firstLine="560" w:firstLineChars="200"/>
        <w:rPr>
          <w:rFonts w:ascii="仿宋_GB2312" w:hAnsi="宋体" w:eastAsia="仿宋_GB2312" w:cs="Times New Roman"/>
          <w:color w:val="000000" w:themeColor="text1"/>
          <w:spacing w:val="-20"/>
          <w:sz w:val="32"/>
          <w:szCs w:val="32"/>
          <w14:textFill>
            <w14:solidFill>
              <w14:schemeClr w14:val="tx1"/>
            </w14:solidFill>
          </w14:textFill>
        </w:rPr>
      </w:pPr>
      <w:r>
        <w:rPr>
          <w:rFonts w:hint="eastAsia" w:ascii="仿宋_GB2312" w:hAnsi="宋体" w:eastAsia="仿宋_GB2312" w:cs="Times New Roman"/>
          <w:color w:val="000000" w:themeColor="text1"/>
          <w:spacing w:val="-20"/>
          <w:sz w:val="32"/>
          <w:szCs w:val="32"/>
          <w14:textFill>
            <w14:solidFill>
              <w14:schemeClr w14:val="tx1"/>
            </w14:solidFill>
          </w14:textFill>
        </w:rPr>
        <w:t>2.针对察尔汗低含溴盐湖卤水，形成的察尔汗盐湖卤水提溴工艺总体溴回收率≥85%；</w:t>
      </w:r>
    </w:p>
    <w:p>
      <w:pPr>
        <w:spacing w:line="360" w:lineRule="auto"/>
        <w:ind w:firstLine="560" w:firstLineChars="200"/>
        <w:rPr>
          <w:rFonts w:ascii="仿宋_GB2312" w:hAnsi="宋体" w:eastAsia="仿宋_GB2312" w:cs="Times New Roman"/>
          <w:color w:val="000000" w:themeColor="text1"/>
          <w:spacing w:val="-20"/>
          <w:sz w:val="32"/>
          <w:szCs w:val="32"/>
          <w14:textFill>
            <w14:solidFill>
              <w14:schemeClr w14:val="tx1"/>
            </w14:solidFill>
          </w14:textFill>
        </w:rPr>
      </w:pPr>
      <w:r>
        <w:rPr>
          <w:rFonts w:hint="eastAsia" w:ascii="仿宋_GB2312" w:hAnsi="宋体" w:eastAsia="仿宋_GB2312" w:cs="Times New Roman"/>
          <w:color w:val="000000" w:themeColor="text1"/>
          <w:spacing w:val="-20"/>
          <w:sz w:val="32"/>
          <w:szCs w:val="32"/>
          <w14:textFill>
            <w14:solidFill>
              <w14:schemeClr w14:val="tx1"/>
            </w14:solidFill>
          </w14:textFill>
        </w:rPr>
        <w:t>3.开发高纯溴产品（溴素、氢溴酸、溴盐产品等）生产工艺，相关产品满足国家标准。</w:t>
      </w:r>
    </w:p>
    <w:p>
      <w:pPr>
        <w:spacing w:line="360" w:lineRule="auto"/>
        <w:ind w:firstLine="643" w:firstLineChars="200"/>
        <w:rPr>
          <w:rFonts w:ascii="仿宋_GB2312" w:hAnsi="楷体" w:eastAsia="仿宋_GB2312" w:cs="Times New Roman"/>
          <w:b/>
          <w:color w:val="000000" w:themeColor="text1"/>
          <w:sz w:val="32"/>
          <w:szCs w:val="32"/>
          <w14:textFill>
            <w14:solidFill>
              <w14:schemeClr w14:val="tx1"/>
            </w14:solidFill>
          </w14:textFill>
        </w:rPr>
      </w:pPr>
      <w:r>
        <w:rPr>
          <w:rFonts w:hint="eastAsia" w:ascii="仿宋_GB2312" w:hAnsi="楷体" w:eastAsia="仿宋_GB2312" w:cs="Times New Roman"/>
          <w:b/>
          <w:color w:val="000000" w:themeColor="text1"/>
          <w:sz w:val="32"/>
          <w:szCs w:val="32"/>
          <w14:textFill>
            <w14:solidFill>
              <w14:schemeClr w14:val="tx1"/>
            </w14:solidFill>
          </w14:textFill>
        </w:rPr>
        <w:t>三、项目研究合作模式</w:t>
      </w:r>
    </w:p>
    <w:p>
      <w:pPr>
        <w:spacing w:line="360" w:lineRule="auto"/>
        <w:ind w:firstLine="560" w:firstLineChars="200"/>
        <w:rPr>
          <w:rFonts w:ascii="仿宋_GB2312" w:eastAsia="仿宋_GB2312"/>
          <w:color w:val="000000" w:themeColor="text1"/>
          <w:spacing w:val="-20"/>
          <w:sz w:val="32"/>
          <w:szCs w:val="32"/>
          <w14:textFill>
            <w14:solidFill>
              <w14:schemeClr w14:val="tx1"/>
            </w14:solidFill>
          </w14:textFill>
        </w:rPr>
      </w:pPr>
      <w:r>
        <w:rPr>
          <w:rFonts w:hint="eastAsia" w:ascii="仿宋_GB2312" w:hAnsi="仿宋" w:eastAsia="仿宋_GB2312" w:cs="Times New Roman"/>
          <w:color w:val="000000" w:themeColor="text1"/>
          <w:spacing w:val="-20"/>
          <w:sz w:val="32"/>
          <w:szCs w:val="32"/>
          <w14:textFill>
            <w14:solidFill>
              <w14:schemeClr w14:val="tx1"/>
            </w14:solidFill>
          </w14:textFill>
        </w:rPr>
        <w:t>本项目将由青海盐湖工业股份有限公司作为投资主体，通过“揭榜挂帅”的方式引进科研院所、高校、企业等进行联合攻关，或技术引进。</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dvOTea1a7398">
    <w:altName w:val="Segoe Print"/>
    <w:panose1 w:val="00000000000000000000"/>
    <w:charset w:val="00"/>
    <w:family w:val="auto"/>
    <w:pitch w:val="default"/>
    <w:sig w:usb0="00000000" w:usb1="00000000" w:usb2="00000000" w:usb3="00000000" w:csb0="00040001"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方正小标宋简体">
    <w:panose1 w:val="03000509000000000000"/>
    <w:charset w:val="86"/>
    <w:family w:val="auto"/>
    <w:pitch w:val="default"/>
    <w:sig w:usb0="00000001" w:usb1="080E0000" w:usb2="00000000" w:usb3="00000000" w:csb0="00040000" w:csb1="00000000"/>
  </w:font>
  <w:font w:name="华文宋体">
    <w:altName w:val="宋体"/>
    <w:panose1 w:val="02010600040101010101"/>
    <w:charset w:val="86"/>
    <w:family w:val="auto"/>
    <w:pitch w:val="default"/>
    <w:sig w:usb0="00000000" w:usb1="00000000" w:usb2="00000010" w:usb3="00000000" w:csb0="000400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4894351"/>
    </w:sdtPr>
    <w:sdtContent>
      <w:p>
        <w:pPr>
          <w:pStyle w:val="4"/>
          <w:jc w:val="center"/>
        </w:pPr>
        <w:r>
          <w:fldChar w:fldCharType="begin"/>
        </w:r>
        <w:r>
          <w:instrText xml:space="preserve"> PAGE   \* MERGEFORMAT </w:instrText>
        </w:r>
        <w:r>
          <w:fldChar w:fldCharType="separate"/>
        </w:r>
        <w:r>
          <w:rPr>
            <w:lang w:val="zh-CN"/>
          </w:rPr>
          <w:t>16</w:t>
        </w:r>
        <w:r>
          <w:rPr>
            <w:lang w:val="zh-CN"/>
          </w:rPr>
          <w:fldChar w:fldCharType="end"/>
        </w:r>
      </w:p>
    </w:sdtContent>
  </w:sdt>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455"/>
    <w:rsid w:val="000023DC"/>
    <w:rsid w:val="0002063C"/>
    <w:rsid w:val="00042C4B"/>
    <w:rsid w:val="00042D91"/>
    <w:rsid w:val="00056AFB"/>
    <w:rsid w:val="00062287"/>
    <w:rsid w:val="00084512"/>
    <w:rsid w:val="00096AF8"/>
    <w:rsid w:val="000A652C"/>
    <w:rsid w:val="000B3CD4"/>
    <w:rsid w:val="000B46EE"/>
    <w:rsid w:val="000C4DD0"/>
    <w:rsid w:val="000F44D3"/>
    <w:rsid w:val="000F77B6"/>
    <w:rsid w:val="00140252"/>
    <w:rsid w:val="00143CED"/>
    <w:rsid w:val="00160F28"/>
    <w:rsid w:val="00170621"/>
    <w:rsid w:val="00180E83"/>
    <w:rsid w:val="00190A9B"/>
    <w:rsid w:val="001B733A"/>
    <w:rsid w:val="001D6A7B"/>
    <w:rsid w:val="001E3A97"/>
    <w:rsid w:val="001E7234"/>
    <w:rsid w:val="00207FAB"/>
    <w:rsid w:val="002416E0"/>
    <w:rsid w:val="0027684C"/>
    <w:rsid w:val="002A1B82"/>
    <w:rsid w:val="002A6BBD"/>
    <w:rsid w:val="002B3E01"/>
    <w:rsid w:val="002B6519"/>
    <w:rsid w:val="002C1917"/>
    <w:rsid w:val="002F0A2F"/>
    <w:rsid w:val="002F18E4"/>
    <w:rsid w:val="002F1F63"/>
    <w:rsid w:val="00325659"/>
    <w:rsid w:val="00327F43"/>
    <w:rsid w:val="00347CD4"/>
    <w:rsid w:val="00375B04"/>
    <w:rsid w:val="00391171"/>
    <w:rsid w:val="003A221C"/>
    <w:rsid w:val="003B5743"/>
    <w:rsid w:val="003F243A"/>
    <w:rsid w:val="00401265"/>
    <w:rsid w:val="00424AD2"/>
    <w:rsid w:val="004343A3"/>
    <w:rsid w:val="0048588A"/>
    <w:rsid w:val="00486159"/>
    <w:rsid w:val="0048681F"/>
    <w:rsid w:val="0049066B"/>
    <w:rsid w:val="004958C7"/>
    <w:rsid w:val="004A4E84"/>
    <w:rsid w:val="004B791D"/>
    <w:rsid w:val="004D6086"/>
    <w:rsid w:val="0052214F"/>
    <w:rsid w:val="00525BE8"/>
    <w:rsid w:val="0053025A"/>
    <w:rsid w:val="00536F84"/>
    <w:rsid w:val="00552C1E"/>
    <w:rsid w:val="00557A29"/>
    <w:rsid w:val="00577528"/>
    <w:rsid w:val="0058761C"/>
    <w:rsid w:val="00591C3F"/>
    <w:rsid w:val="00592B7D"/>
    <w:rsid w:val="005B3D8E"/>
    <w:rsid w:val="005C673D"/>
    <w:rsid w:val="005F71EE"/>
    <w:rsid w:val="006010AD"/>
    <w:rsid w:val="0065388E"/>
    <w:rsid w:val="006645A1"/>
    <w:rsid w:val="006A0D7D"/>
    <w:rsid w:val="006A61CB"/>
    <w:rsid w:val="006F07BA"/>
    <w:rsid w:val="006F4C42"/>
    <w:rsid w:val="00706AF4"/>
    <w:rsid w:val="0071202D"/>
    <w:rsid w:val="00727B03"/>
    <w:rsid w:val="00755EF5"/>
    <w:rsid w:val="00757A23"/>
    <w:rsid w:val="007624C1"/>
    <w:rsid w:val="00782187"/>
    <w:rsid w:val="007A0FC5"/>
    <w:rsid w:val="007A1F6A"/>
    <w:rsid w:val="007C22B4"/>
    <w:rsid w:val="007E1D2C"/>
    <w:rsid w:val="007F3F40"/>
    <w:rsid w:val="0080018B"/>
    <w:rsid w:val="00811B4B"/>
    <w:rsid w:val="0084134D"/>
    <w:rsid w:val="00847277"/>
    <w:rsid w:val="0085261D"/>
    <w:rsid w:val="00863A57"/>
    <w:rsid w:val="008F26D4"/>
    <w:rsid w:val="00906FA8"/>
    <w:rsid w:val="00913109"/>
    <w:rsid w:val="00931310"/>
    <w:rsid w:val="00941AE5"/>
    <w:rsid w:val="00944F42"/>
    <w:rsid w:val="00986D3C"/>
    <w:rsid w:val="009C05EB"/>
    <w:rsid w:val="009C1247"/>
    <w:rsid w:val="009C62CA"/>
    <w:rsid w:val="009D673E"/>
    <w:rsid w:val="009E3874"/>
    <w:rsid w:val="00A02D71"/>
    <w:rsid w:val="00A042D5"/>
    <w:rsid w:val="00A11175"/>
    <w:rsid w:val="00A42682"/>
    <w:rsid w:val="00A5590A"/>
    <w:rsid w:val="00A61678"/>
    <w:rsid w:val="00A7552D"/>
    <w:rsid w:val="00A8655A"/>
    <w:rsid w:val="00A87322"/>
    <w:rsid w:val="00AA5C49"/>
    <w:rsid w:val="00AC4D5A"/>
    <w:rsid w:val="00AD32AF"/>
    <w:rsid w:val="00AF1596"/>
    <w:rsid w:val="00B043B1"/>
    <w:rsid w:val="00B11C3F"/>
    <w:rsid w:val="00B2592C"/>
    <w:rsid w:val="00B33196"/>
    <w:rsid w:val="00B72F83"/>
    <w:rsid w:val="00B773DA"/>
    <w:rsid w:val="00BA3491"/>
    <w:rsid w:val="00BC47B2"/>
    <w:rsid w:val="00BF641A"/>
    <w:rsid w:val="00BF77D3"/>
    <w:rsid w:val="00C01457"/>
    <w:rsid w:val="00C07D7C"/>
    <w:rsid w:val="00C17C24"/>
    <w:rsid w:val="00C20447"/>
    <w:rsid w:val="00C72430"/>
    <w:rsid w:val="00C72FA1"/>
    <w:rsid w:val="00C7304B"/>
    <w:rsid w:val="00C841AE"/>
    <w:rsid w:val="00C87C8B"/>
    <w:rsid w:val="00C947E6"/>
    <w:rsid w:val="00CA0918"/>
    <w:rsid w:val="00CA32E7"/>
    <w:rsid w:val="00CD4B38"/>
    <w:rsid w:val="00CD612B"/>
    <w:rsid w:val="00CE0531"/>
    <w:rsid w:val="00CE4D07"/>
    <w:rsid w:val="00CE5D4B"/>
    <w:rsid w:val="00CE7E7E"/>
    <w:rsid w:val="00D304E6"/>
    <w:rsid w:val="00D45AB5"/>
    <w:rsid w:val="00D46324"/>
    <w:rsid w:val="00D71455"/>
    <w:rsid w:val="00DA2AE1"/>
    <w:rsid w:val="00DA2D65"/>
    <w:rsid w:val="00DB0C02"/>
    <w:rsid w:val="00DB1E2D"/>
    <w:rsid w:val="00DC4D6A"/>
    <w:rsid w:val="00DE2643"/>
    <w:rsid w:val="00E00289"/>
    <w:rsid w:val="00E1026C"/>
    <w:rsid w:val="00E17DFF"/>
    <w:rsid w:val="00E17E0B"/>
    <w:rsid w:val="00E279C0"/>
    <w:rsid w:val="00E42EFF"/>
    <w:rsid w:val="00E548C9"/>
    <w:rsid w:val="00E91264"/>
    <w:rsid w:val="00E97A67"/>
    <w:rsid w:val="00EA626F"/>
    <w:rsid w:val="00EC43E8"/>
    <w:rsid w:val="00EE68BF"/>
    <w:rsid w:val="00EF5A0B"/>
    <w:rsid w:val="00EF75D1"/>
    <w:rsid w:val="00F01E44"/>
    <w:rsid w:val="00F256CA"/>
    <w:rsid w:val="00F3054A"/>
    <w:rsid w:val="00F6423F"/>
    <w:rsid w:val="00F64E17"/>
    <w:rsid w:val="00F75F08"/>
    <w:rsid w:val="00F851B1"/>
    <w:rsid w:val="00FD3302"/>
    <w:rsid w:val="00FE68E6"/>
    <w:rsid w:val="03427A1D"/>
    <w:rsid w:val="07182E20"/>
    <w:rsid w:val="12D32FCC"/>
    <w:rsid w:val="14054F58"/>
    <w:rsid w:val="159A2000"/>
    <w:rsid w:val="1692605C"/>
    <w:rsid w:val="1BBA6340"/>
    <w:rsid w:val="22DC7D67"/>
    <w:rsid w:val="23C12CB6"/>
    <w:rsid w:val="25DF6AE3"/>
    <w:rsid w:val="286F0AB0"/>
    <w:rsid w:val="2A3A42C2"/>
    <w:rsid w:val="2DCB4AD9"/>
    <w:rsid w:val="30AD040B"/>
    <w:rsid w:val="3E1623F0"/>
    <w:rsid w:val="3E183A6B"/>
    <w:rsid w:val="47203EAF"/>
    <w:rsid w:val="4A7A15F8"/>
    <w:rsid w:val="50546339"/>
    <w:rsid w:val="5692409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9"/>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4"/>
    <w:semiHidden/>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标题 2 Char"/>
    <w:basedOn w:val="8"/>
    <w:link w:val="2"/>
    <w:qFormat/>
    <w:uiPriority w:val="9"/>
    <w:rPr>
      <w:rFonts w:asciiTheme="majorHAnsi" w:hAnsiTheme="majorHAnsi" w:eastAsiaTheme="majorEastAsia" w:cstheme="majorBidi"/>
      <w:b/>
      <w:bCs/>
      <w:sz w:val="32"/>
      <w:szCs w:val="32"/>
    </w:rPr>
  </w:style>
  <w:style w:type="paragraph" w:styleId="10">
    <w:name w:val="List Paragraph"/>
    <w:basedOn w:val="1"/>
    <w:qFormat/>
    <w:uiPriority w:val="34"/>
    <w:pPr>
      <w:ind w:firstLine="420" w:firstLineChars="200"/>
    </w:pPr>
  </w:style>
  <w:style w:type="character" w:customStyle="1" w:styleId="11">
    <w:name w:val="fontstyle01"/>
    <w:qFormat/>
    <w:uiPriority w:val="0"/>
    <w:rPr>
      <w:rFonts w:ascii="AdvOTea1a7398" w:hAnsi="AdvOTea1a7398" w:eastAsia="AdvOTea1a7398" w:cs="AdvOTea1a7398"/>
      <w:color w:val="000000"/>
      <w:sz w:val="20"/>
      <w:szCs w:val="20"/>
    </w:rPr>
  </w:style>
  <w:style w:type="character" w:customStyle="1" w:styleId="12">
    <w:name w:val="页眉 Char"/>
    <w:basedOn w:val="8"/>
    <w:link w:val="5"/>
    <w:qFormat/>
    <w:uiPriority w:val="99"/>
    <w:rPr>
      <w:kern w:val="2"/>
      <w:sz w:val="18"/>
      <w:szCs w:val="18"/>
    </w:rPr>
  </w:style>
  <w:style w:type="character" w:customStyle="1" w:styleId="13">
    <w:name w:val="页脚 Char"/>
    <w:basedOn w:val="8"/>
    <w:link w:val="4"/>
    <w:qFormat/>
    <w:uiPriority w:val="99"/>
    <w:rPr>
      <w:kern w:val="2"/>
      <w:sz w:val="18"/>
      <w:szCs w:val="18"/>
    </w:rPr>
  </w:style>
  <w:style w:type="character" w:customStyle="1" w:styleId="14">
    <w:name w:val="批注框文本 Char"/>
    <w:basedOn w:val="8"/>
    <w:link w:val="3"/>
    <w:semiHidden/>
    <w:qFormat/>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E3915D-BBF0-4E0A-8C47-2CFA15FB5CE7}">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17</Pages>
  <Words>1151</Words>
  <Characters>6561</Characters>
  <Lines>54</Lines>
  <Paragraphs>15</Paragraphs>
  <TotalTime>28</TotalTime>
  <ScaleCrop>false</ScaleCrop>
  <LinksUpToDate>false</LinksUpToDate>
  <CharactersWithSpaces>7697</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2021-07-02T06:53:00Z</dcterms:created>
  <dc:creator>董昌吉</dc:creator>
  <cp:lastModifiedBy>꧁꧁꧂꧂</cp:lastModifiedBy>
  <cp:lastPrinted>2021-07-02T08:04:00Z</cp:lastPrinted>
  <dcterms:modified xsi:type="dcterms:W3CDTF">2021-09-18T05:26:58Z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5755E6521C25447DAE41E71CA64873A7</vt:lpwstr>
  </property>
</Properties>
</file>